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Calibri" w:eastAsia="仿宋_GB2312" w:cs="Times New Roman"/>
          <w:b/>
          <w:bCs w:val="0"/>
          <w:color w:val="0000C7"/>
          <w:sz w:val="32"/>
          <w:szCs w:val="32"/>
          <w:highlight w:val="none"/>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lang w:val="en-US" w:eastAsia="zh-CN"/>
        </w:rPr>
        <w:t>2026年福保街道企业退休人员社会化管理服务活动项目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：杨晓格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300500元，最终合同签订价格以我单位聘请的第三方审核价格为准（有取费标准的除外）。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snapToGrid w:val="0"/>
          <w:color w:val="auto"/>
          <w:spacing w:val="-15"/>
          <w:kern w:val="0"/>
          <w:sz w:val="28"/>
          <w:szCs w:val="28"/>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根据《中共深圳市委办公厅 深圳市人民政府办公厅转发&lt;市人力资源和社会保障局关于进一步推进我市企业退休人员社会化管理服务工作的实施意见&gt;的通知》（深发办[2017]9号文）有关规定。为做好福保街道企业退休人员社会化管理服务工作，福保街道拟组织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区8000名企</w:t>
      </w:r>
      <w:r>
        <w:rPr>
          <w:rFonts w:hint="eastAsia" w:ascii="仿宋_GB2312" w:hAnsi="仿宋_GB2312" w:eastAsia="仿宋_GB2312" w:cs="仿宋_GB2312"/>
          <w:color w:val="auto"/>
          <w:sz w:val="28"/>
          <w:szCs w:val="28"/>
          <w:lang w:val="en-US" w:eastAsia="zh-CN"/>
        </w:rPr>
        <w:t>业退休人员开展活动。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服务要求</w:t>
      </w:r>
    </w:p>
    <w:p>
      <w:pPr>
        <w:pStyle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1.服务对象约定：乙方协助甲方在福保街道组织开展企业退休人员专项活动，服务对象限定为截至2026年4月30日在社保/相关管理系统完成登记在册的福保街道企业退休人员，预估在册人数8000名（人数以系统实际在册数据为准）。</w:t>
      </w:r>
    </w:p>
    <w:p>
      <w:pPr>
        <w:pStyle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 宣传相关义务：由乙方全权负责本次活动全流程宣传工作，包含宣传方案落地、各类宣传物料的设计、制作、布设与配发，相关费用若无另行约定由乙方承担。</w:t>
      </w:r>
    </w:p>
    <w:p>
      <w:pPr>
        <w:pStyle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 活动落地义务：乙方须严格遵照甲方指定时间节点、活动标准及相关工作要求，保质保量协助完成全项企业退休人员活动组织、落地实施工作。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1.服务期：自合同签订之日起至两个月。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2.服务地点：福保街道办事处。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3.付款方式：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分期付款：合同签订后，中标供应商提供符合规定的发票，街道办15日内支付合同总额的40%；项目终验合格后，中标供应商提供符合规定的发票，街道办支付合同总额60%。</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备注：最终合同签订价格以我单位聘请的第三方审计价格为准。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pStyle w:val="2"/>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lang w:val="en-US" w:eastAsia="zh-CN"/>
        </w:rPr>
        <w:t>.法定代表人、投标授权代表人、项目负责人（如有）最近一个月的社保缴纳证明，以及企业股权关系证明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eastAsia="仿宋_GB2312" w:cs="Times New Roman"/>
          <w:b w:val="0"/>
          <w:bCs/>
          <w:color w:val="auto"/>
          <w:kern w:val="2"/>
          <w:sz w:val="28"/>
          <w:szCs w:val="28"/>
          <w:highlight w:val="none"/>
          <w:lang w:val="en-US" w:eastAsia="zh-CN" w:bidi="ar-SA"/>
        </w:rPr>
        <w:t>4</w:t>
      </w:r>
      <w:r>
        <w:rPr>
          <w:rFonts w:hint="eastAsia" w:ascii="仿宋_GB2312" w:hAnsi="Calibri" w:eastAsia="仿宋_GB2312" w:cs="Times New Roman"/>
          <w:b w:val="0"/>
          <w:bCs/>
          <w:color w:val="auto"/>
          <w:kern w:val="2"/>
          <w:sz w:val="28"/>
          <w:szCs w:val="28"/>
          <w:highlight w:val="none"/>
          <w:lang w:val="en-US" w:eastAsia="zh-CN" w:bidi="ar-SA"/>
        </w:rPr>
        <w:t>.承诺函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5.投标报价单（须写出详实内容：包括但不限于价格、服务项目、内容、服务人数等）；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6.加盖公章的《供应商基本情况表》；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7.对此项目的运营提供详细的服务方案；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8.公司详细简介；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9.项目相关案例、业绩等；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10.可体现投标人综合实力及运营管理的其他资料。投标文件需要有投标文件封面，以上文件需加盖单位公章并装订成册，且应将资料密封存入不透明文件袋中，贴密封条并加盖公章，否则视为无效投标。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8CCA9"/>
    <w:multiLevelType w:val="singleLevel"/>
    <w:tmpl w:val="E728CC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3A25B66"/>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276535"/>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4D6755F"/>
    <w:rsid w:val="14EF0CF0"/>
    <w:rsid w:val="15622605"/>
    <w:rsid w:val="15791920"/>
    <w:rsid w:val="15993A54"/>
    <w:rsid w:val="15F034B1"/>
    <w:rsid w:val="163F2B60"/>
    <w:rsid w:val="17056988"/>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16494D"/>
    <w:rsid w:val="20954D1A"/>
    <w:rsid w:val="210066BD"/>
    <w:rsid w:val="21307C68"/>
    <w:rsid w:val="22E319F4"/>
    <w:rsid w:val="234B49EE"/>
    <w:rsid w:val="239A69DA"/>
    <w:rsid w:val="24303B1C"/>
    <w:rsid w:val="24F3676A"/>
    <w:rsid w:val="25762D51"/>
    <w:rsid w:val="267267AA"/>
    <w:rsid w:val="26F72EC3"/>
    <w:rsid w:val="27014B68"/>
    <w:rsid w:val="27630C0D"/>
    <w:rsid w:val="27AC7A9A"/>
    <w:rsid w:val="27C106F7"/>
    <w:rsid w:val="28F65279"/>
    <w:rsid w:val="29A506CF"/>
    <w:rsid w:val="2B98685A"/>
    <w:rsid w:val="2BCE18E1"/>
    <w:rsid w:val="2C250022"/>
    <w:rsid w:val="2C7D7562"/>
    <w:rsid w:val="2CBB1993"/>
    <w:rsid w:val="2E9512BE"/>
    <w:rsid w:val="2EF60A79"/>
    <w:rsid w:val="2F7429B5"/>
    <w:rsid w:val="2FB024E9"/>
    <w:rsid w:val="30546D1D"/>
    <w:rsid w:val="30571293"/>
    <w:rsid w:val="30CE1EF5"/>
    <w:rsid w:val="317F3195"/>
    <w:rsid w:val="32B44047"/>
    <w:rsid w:val="32C46724"/>
    <w:rsid w:val="32D14DE7"/>
    <w:rsid w:val="33043851"/>
    <w:rsid w:val="33352BF9"/>
    <w:rsid w:val="33FB7EE5"/>
    <w:rsid w:val="3410708F"/>
    <w:rsid w:val="34463A51"/>
    <w:rsid w:val="345B1120"/>
    <w:rsid w:val="34E93AAE"/>
    <w:rsid w:val="35951C0E"/>
    <w:rsid w:val="35A27571"/>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3D45DC1"/>
    <w:rsid w:val="44292F78"/>
    <w:rsid w:val="44BF455F"/>
    <w:rsid w:val="45493BAE"/>
    <w:rsid w:val="4560673A"/>
    <w:rsid w:val="45F17CBD"/>
    <w:rsid w:val="46414B56"/>
    <w:rsid w:val="464248BE"/>
    <w:rsid w:val="46636A6F"/>
    <w:rsid w:val="46FA6F06"/>
    <w:rsid w:val="48F04EA4"/>
    <w:rsid w:val="49A95B43"/>
    <w:rsid w:val="49B33C32"/>
    <w:rsid w:val="4AC57851"/>
    <w:rsid w:val="4AFD1596"/>
    <w:rsid w:val="4B582D83"/>
    <w:rsid w:val="4C152BF5"/>
    <w:rsid w:val="4C1E487A"/>
    <w:rsid w:val="4C616596"/>
    <w:rsid w:val="4CD26EC1"/>
    <w:rsid w:val="4CFC1888"/>
    <w:rsid w:val="4D940ECA"/>
    <w:rsid w:val="4E462DF8"/>
    <w:rsid w:val="4EF456FF"/>
    <w:rsid w:val="4F362B13"/>
    <w:rsid w:val="507233D4"/>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69A361F"/>
    <w:rsid w:val="77E74CD6"/>
    <w:rsid w:val="77F51A1C"/>
    <w:rsid w:val="77FE0566"/>
    <w:rsid w:val="7857310F"/>
    <w:rsid w:val="7919403D"/>
    <w:rsid w:val="799A0DC7"/>
    <w:rsid w:val="7ABB6F4D"/>
    <w:rsid w:val="7B1C0A58"/>
    <w:rsid w:val="7C2A64E6"/>
    <w:rsid w:val="7CE53120"/>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824</Words>
  <Characters>867</Characters>
  <Lines>0</Lines>
  <Paragraphs>0</Paragraphs>
  <TotalTime>37</TotalTime>
  <ScaleCrop>false</ScaleCrop>
  <LinksUpToDate>false</LinksUpToDate>
  <CharactersWithSpaces>873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lulu</cp:lastModifiedBy>
  <cp:lastPrinted>2026-06-03T08:29:00Z</cp:lastPrinted>
  <dcterms:modified xsi:type="dcterms:W3CDTF">2026-06-04T01:40:56Z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1FD29DEA4D3244B4B86D1223450681A8</vt:lpwstr>
  </property>
  <property fmtid="{D5CDD505-2E9C-101B-9397-08002B2CF9AE}" pid="4" name="KSOTemplateDocerSaveRecord">
    <vt:lpwstr>eyJoZGlkIjoiYTM2NzNkMDc1YmIyNWEzNGVhZGQ1YmY5ZjU1Y2U3YTEiLCJ1c2VySWQiOiI0NjEwMTg4NzYifQ==</vt:lpwstr>
  </property>
</Properties>
</file>