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color w:val="auto"/>
          <w:spacing w:val="0"/>
          <w:kern w:val="0"/>
          <w:sz w:val="44"/>
          <w:szCs w:val="44"/>
          <w:u w:val="none" w:color="auto"/>
        </w:rPr>
      </w:pP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color w:val="auto"/>
          <w:spacing w:val="0"/>
          <w:kern w:val="0"/>
          <w:sz w:val="44"/>
          <w:szCs w:val="44"/>
          <w:u w:val="none" w:color="auto"/>
          <w:lang w:val="en-US" w:eastAsia="zh-CN"/>
        </w:rPr>
      </w:pPr>
      <w:r>
        <w:rPr>
          <w:rFonts w:hint="eastAsia" w:ascii="方正小标宋简体" w:hAnsi="方正小标宋简体" w:eastAsia="方正小标宋简体" w:cs="方正小标宋简体"/>
          <w:b w:val="0"/>
          <w:bCs w:val="0"/>
          <w:snapToGrid w:val="0"/>
          <w:color w:val="auto"/>
          <w:spacing w:val="0"/>
          <w:kern w:val="0"/>
          <w:sz w:val="44"/>
          <w:szCs w:val="44"/>
          <w:u w:val="none" w:color="auto"/>
        </w:rPr>
        <w:t>中共</w:t>
      </w:r>
      <w:r>
        <w:rPr>
          <w:rFonts w:hint="eastAsia" w:ascii="方正小标宋简体" w:hAnsi="方正小标宋简体" w:eastAsia="方正小标宋简体" w:cs="方正小标宋简体"/>
          <w:b w:val="0"/>
          <w:bCs w:val="0"/>
          <w:snapToGrid w:val="0"/>
          <w:color w:val="auto"/>
          <w:spacing w:val="0"/>
          <w:kern w:val="0"/>
          <w:sz w:val="44"/>
          <w:szCs w:val="44"/>
          <w:u w:val="none" w:color="auto"/>
          <w:lang w:eastAsia="zh-CN"/>
        </w:rPr>
        <w:t>深圳市福田区福保街道明月社区</w:t>
      </w:r>
      <w:r>
        <w:rPr>
          <w:rFonts w:hint="eastAsia" w:ascii="方正小标宋简体" w:hAnsi="方正小标宋简体" w:eastAsia="方正小标宋简体" w:cs="方正小标宋简体"/>
          <w:b w:val="0"/>
          <w:bCs w:val="0"/>
          <w:snapToGrid w:val="0"/>
          <w:color w:val="auto"/>
          <w:spacing w:val="0"/>
          <w:kern w:val="0"/>
          <w:sz w:val="44"/>
          <w:szCs w:val="44"/>
          <w:u w:val="none" w:color="auto"/>
          <w:lang w:val="en-US" w:eastAsia="zh-CN"/>
        </w:rPr>
        <w:t>委员会</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color w:val="auto"/>
          <w:spacing w:val="0"/>
          <w:kern w:val="0"/>
          <w:sz w:val="44"/>
          <w:szCs w:val="44"/>
          <w:u w:val="none" w:color="auto"/>
        </w:rPr>
      </w:pPr>
      <w:r>
        <w:rPr>
          <w:rFonts w:hint="eastAsia" w:ascii="方正小标宋简体" w:hAnsi="方正小标宋简体" w:eastAsia="方正小标宋简体" w:cs="方正小标宋简体"/>
          <w:b w:val="0"/>
          <w:bCs w:val="0"/>
          <w:snapToGrid w:val="0"/>
          <w:color w:val="auto"/>
          <w:spacing w:val="0"/>
          <w:kern w:val="0"/>
          <w:sz w:val="44"/>
          <w:szCs w:val="44"/>
          <w:u w:val="none" w:color="auto"/>
        </w:rPr>
        <w:t>关于</w:t>
      </w:r>
      <w:r>
        <w:rPr>
          <w:rFonts w:hint="eastAsia" w:ascii="方正小标宋简体" w:hAnsi="方正小标宋简体" w:eastAsia="方正小标宋简体" w:cs="方正小标宋简体"/>
          <w:b w:val="0"/>
          <w:bCs w:val="0"/>
          <w:snapToGrid w:val="0"/>
          <w:color w:val="auto"/>
          <w:spacing w:val="0"/>
          <w:kern w:val="0"/>
          <w:sz w:val="44"/>
          <w:szCs w:val="44"/>
          <w:u w:val="none" w:color="auto"/>
          <w:lang w:eastAsia="zh-CN"/>
        </w:rPr>
        <w:t>巡察</w:t>
      </w:r>
      <w:r>
        <w:rPr>
          <w:rFonts w:hint="eastAsia" w:ascii="方正小标宋简体" w:hAnsi="方正小标宋简体" w:eastAsia="方正小标宋简体" w:cs="方正小标宋简体"/>
          <w:b w:val="0"/>
          <w:bCs w:val="0"/>
          <w:snapToGrid w:val="0"/>
          <w:color w:val="auto"/>
          <w:spacing w:val="0"/>
          <w:kern w:val="0"/>
          <w:sz w:val="44"/>
          <w:szCs w:val="44"/>
          <w:u w:val="none" w:color="auto"/>
        </w:rPr>
        <w:t>整改</w:t>
      </w:r>
      <w:r>
        <w:rPr>
          <w:rFonts w:hint="eastAsia" w:ascii="方正小标宋简体" w:hAnsi="方正小标宋简体" w:eastAsia="方正小标宋简体" w:cs="方正小标宋简体"/>
          <w:b w:val="0"/>
          <w:bCs w:val="0"/>
          <w:snapToGrid w:val="0"/>
          <w:color w:val="auto"/>
          <w:spacing w:val="0"/>
          <w:kern w:val="0"/>
          <w:sz w:val="44"/>
          <w:szCs w:val="44"/>
          <w:u w:val="none" w:color="auto"/>
          <w:lang w:eastAsia="zh-CN"/>
        </w:rPr>
        <w:t>进展</w:t>
      </w:r>
      <w:r>
        <w:rPr>
          <w:rFonts w:hint="eastAsia" w:ascii="方正小标宋简体" w:hAnsi="方正小标宋简体" w:eastAsia="方正小标宋简体" w:cs="方正小标宋简体"/>
          <w:b w:val="0"/>
          <w:bCs w:val="0"/>
          <w:snapToGrid w:val="0"/>
          <w:color w:val="auto"/>
          <w:spacing w:val="0"/>
          <w:kern w:val="0"/>
          <w:sz w:val="44"/>
          <w:szCs w:val="44"/>
          <w:u w:val="none" w:color="auto"/>
        </w:rPr>
        <w:t>情况的通报</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ascii="Times New Roman" w:hAnsi="Calibri" w:eastAsia="仿宋_GB2312" w:cs="Times New Roman"/>
          <w:color w:val="auto"/>
          <w:kern w:val="2"/>
          <w:sz w:val="32"/>
          <w:szCs w:val="32"/>
          <w:u w:val="none" w:color="auto"/>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Calibri" w:eastAsia="仿宋_GB2312" w:cs="Times New Roman"/>
          <w:color w:val="auto"/>
          <w:kern w:val="2"/>
          <w:sz w:val="32"/>
          <w:szCs w:val="32"/>
          <w:highlight w:val="none"/>
          <w:u w:val="none" w:color="auto"/>
          <w:lang w:val="en-US" w:eastAsia="zh-CN" w:bidi="ar-SA"/>
        </w:rPr>
      </w:pPr>
      <w:r>
        <w:rPr>
          <w:rFonts w:hint="eastAsia" w:ascii="Times New Roman" w:hAnsi="Calibri" w:eastAsia="仿宋_GB2312" w:cs="Times New Roman"/>
          <w:color w:val="auto"/>
          <w:kern w:val="2"/>
          <w:sz w:val="32"/>
          <w:szCs w:val="32"/>
          <w:u w:val="none" w:color="auto"/>
          <w:lang w:val="en-US" w:eastAsia="zh-CN" w:bidi="ar-SA"/>
        </w:rPr>
        <w:t>根据</w:t>
      </w:r>
      <w:r>
        <w:rPr>
          <w:rFonts w:hint="eastAsia" w:hAnsi="Calibri" w:eastAsia="仿宋_GB2312" w:cs="Times New Roman"/>
          <w:color w:val="auto"/>
          <w:kern w:val="2"/>
          <w:sz w:val="32"/>
          <w:szCs w:val="32"/>
          <w:u w:val="none" w:color="auto"/>
          <w:lang w:val="en-US" w:eastAsia="zh-CN" w:bidi="ar-SA"/>
        </w:rPr>
        <w:t>区</w:t>
      </w:r>
      <w:r>
        <w:rPr>
          <w:rFonts w:hint="eastAsia" w:ascii="Times New Roman" w:hAnsi="Calibri" w:eastAsia="仿宋_GB2312" w:cs="Times New Roman"/>
          <w:color w:val="auto"/>
          <w:kern w:val="2"/>
          <w:sz w:val="32"/>
          <w:szCs w:val="32"/>
          <w:u w:val="none" w:color="auto"/>
          <w:lang w:val="en-US" w:eastAsia="zh-CN" w:bidi="ar-SA"/>
        </w:rPr>
        <w:t>委统一</w:t>
      </w:r>
      <w:r>
        <w:rPr>
          <w:rFonts w:hint="eastAsia" w:ascii="Times New Roman" w:hAnsi="Calibri" w:eastAsia="仿宋_GB2312" w:cs="Times New Roman"/>
          <w:color w:val="auto"/>
          <w:kern w:val="2"/>
          <w:sz w:val="32"/>
          <w:szCs w:val="32"/>
          <w:highlight w:val="none"/>
          <w:u w:val="none" w:color="auto"/>
          <w:lang w:val="en-US" w:eastAsia="zh-CN" w:bidi="ar-SA"/>
        </w:rPr>
        <w:t>部署，</w:t>
      </w:r>
      <w:r>
        <w:rPr>
          <w:rFonts w:hint="eastAsia" w:ascii="方正仿宋_GBK" w:hAnsi="方正仿宋_GBK" w:eastAsia="方正仿宋_GBK" w:cs="方正仿宋_GBK"/>
          <w:color w:val="auto"/>
          <w:kern w:val="2"/>
          <w:sz w:val="32"/>
          <w:szCs w:val="32"/>
          <w:highlight w:val="none"/>
          <w:u w:val="none" w:color="auto"/>
          <w:lang w:val="en-US" w:eastAsia="zh-CN" w:bidi="ar-SA"/>
        </w:rPr>
        <w:t>2025</w:t>
      </w:r>
      <w:r>
        <w:rPr>
          <w:rFonts w:hint="eastAsia" w:ascii="Times New Roman" w:hAnsi="Calibri" w:eastAsia="仿宋_GB2312" w:cs="Times New Roman"/>
          <w:color w:val="auto"/>
          <w:kern w:val="2"/>
          <w:sz w:val="32"/>
          <w:szCs w:val="32"/>
          <w:highlight w:val="none"/>
          <w:u w:val="none" w:color="auto"/>
          <w:lang w:val="en-US" w:eastAsia="zh-CN" w:bidi="ar-SA"/>
        </w:rPr>
        <w:t>年</w:t>
      </w:r>
      <w:r>
        <w:rPr>
          <w:rFonts w:hint="eastAsia" w:ascii="方正仿宋_GBK" w:hAnsi="方正仿宋_GBK" w:eastAsia="方正仿宋_GBK" w:cs="方正仿宋_GBK"/>
          <w:color w:val="auto"/>
          <w:kern w:val="2"/>
          <w:sz w:val="32"/>
          <w:szCs w:val="32"/>
          <w:highlight w:val="none"/>
          <w:u w:val="none" w:color="auto"/>
          <w:lang w:val="en-US" w:eastAsia="zh-CN" w:bidi="ar-SA"/>
        </w:rPr>
        <w:t>3</w:t>
      </w:r>
      <w:r>
        <w:rPr>
          <w:rFonts w:hint="eastAsia" w:ascii="Times New Roman" w:hAnsi="Calibri" w:eastAsia="仿宋_GB2312" w:cs="Times New Roman"/>
          <w:color w:val="auto"/>
          <w:kern w:val="2"/>
          <w:sz w:val="32"/>
          <w:szCs w:val="32"/>
          <w:highlight w:val="none"/>
          <w:u w:val="none" w:color="auto"/>
          <w:lang w:val="en-US" w:eastAsia="zh-CN" w:bidi="ar-SA"/>
        </w:rPr>
        <w:t>月</w:t>
      </w:r>
      <w:r>
        <w:rPr>
          <w:rFonts w:hint="eastAsia" w:ascii="方正仿宋_GBK" w:hAnsi="方正仿宋_GBK" w:eastAsia="方正仿宋_GBK" w:cs="方正仿宋_GBK"/>
          <w:color w:val="auto"/>
          <w:kern w:val="2"/>
          <w:sz w:val="32"/>
          <w:szCs w:val="32"/>
          <w:highlight w:val="none"/>
          <w:u w:val="none" w:color="auto"/>
          <w:lang w:val="en-US" w:eastAsia="zh-CN" w:bidi="ar-SA"/>
        </w:rPr>
        <w:t>26</w:t>
      </w:r>
      <w:r>
        <w:rPr>
          <w:rFonts w:hint="eastAsia" w:ascii="Times New Roman" w:hAnsi="Calibri" w:eastAsia="仿宋_GB2312" w:cs="Times New Roman"/>
          <w:color w:val="auto"/>
          <w:kern w:val="2"/>
          <w:sz w:val="32"/>
          <w:szCs w:val="32"/>
          <w:highlight w:val="none"/>
          <w:u w:val="none" w:color="auto"/>
          <w:lang w:val="en-US" w:eastAsia="zh-CN" w:bidi="ar-SA"/>
        </w:rPr>
        <w:t>日至</w:t>
      </w:r>
      <w:r>
        <w:rPr>
          <w:rFonts w:hint="eastAsia" w:ascii="方正仿宋_GBK" w:hAnsi="方正仿宋_GBK" w:eastAsia="方正仿宋_GBK" w:cs="方正仿宋_GBK"/>
          <w:color w:val="auto"/>
          <w:kern w:val="2"/>
          <w:sz w:val="32"/>
          <w:szCs w:val="32"/>
          <w:highlight w:val="none"/>
          <w:u w:val="none" w:color="auto"/>
          <w:lang w:val="en-US" w:eastAsia="zh-CN" w:bidi="ar-SA"/>
        </w:rPr>
        <w:t>2025</w:t>
      </w:r>
      <w:r>
        <w:rPr>
          <w:rFonts w:hint="eastAsia" w:ascii="Times New Roman" w:hAnsi="Calibri" w:eastAsia="仿宋_GB2312" w:cs="Times New Roman"/>
          <w:color w:val="auto"/>
          <w:kern w:val="2"/>
          <w:sz w:val="32"/>
          <w:szCs w:val="32"/>
          <w:highlight w:val="none"/>
          <w:u w:val="none" w:color="auto"/>
          <w:lang w:val="en-US" w:eastAsia="zh-CN" w:bidi="ar-SA"/>
        </w:rPr>
        <w:t>年</w:t>
      </w:r>
      <w:r>
        <w:rPr>
          <w:rFonts w:hint="eastAsia" w:ascii="方正仿宋_GBK" w:hAnsi="方正仿宋_GBK" w:eastAsia="方正仿宋_GBK" w:cs="方正仿宋_GBK"/>
          <w:color w:val="auto"/>
          <w:kern w:val="2"/>
          <w:sz w:val="32"/>
          <w:szCs w:val="32"/>
          <w:highlight w:val="none"/>
          <w:u w:val="none" w:color="auto"/>
          <w:lang w:val="en-US" w:eastAsia="zh-CN" w:bidi="ar-SA"/>
        </w:rPr>
        <w:t>7</w:t>
      </w:r>
      <w:r>
        <w:rPr>
          <w:rFonts w:hint="eastAsia" w:ascii="Times New Roman" w:hAnsi="Calibri" w:eastAsia="仿宋_GB2312" w:cs="Times New Roman"/>
          <w:color w:val="auto"/>
          <w:kern w:val="2"/>
          <w:sz w:val="32"/>
          <w:szCs w:val="32"/>
          <w:highlight w:val="none"/>
          <w:u w:val="none" w:color="auto"/>
          <w:lang w:val="en-US" w:eastAsia="zh-CN" w:bidi="ar-SA"/>
        </w:rPr>
        <w:t>月</w:t>
      </w:r>
      <w:r>
        <w:rPr>
          <w:rFonts w:hint="eastAsia" w:ascii="方正仿宋_GBK" w:hAnsi="方正仿宋_GBK" w:eastAsia="方正仿宋_GBK" w:cs="方正仿宋_GBK"/>
          <w:color w:val="auto"/>
          <w:kern w:val="2"/>
          <w:sz w:val="32"/>
          <w:szCs w:val="32"/>
          <w:highlight w:val="none"/>
          <w:u w:val="none" w:color="auto"/>
          <w:lang w:val="en-US" w:eastAsia="zh-CN" w:bidi="ar-SA"/>
        </w:rPr>
        <w:t>31</w:t>
      </w:r>
      <w:r>
        <w:rPr>
          <w:rFonts w:hint="eastAsia" w:ascii="Times New Roman" w:hAnsi="Calibri" w:eastAsia="仿宋_GB2312" w:cs="Times New Roman"/>
          <w:color w:val="auto"/>
          <w:kern w:val="2"/>
          <w:sz w:val="32"/>
          <w:szCs w:val="32"/>
          <w:highlight w:val="none"/>
          <w:u w:val="none" w:color="auto"/>
          <w:lang w:val="en-US" w:eastAsia="zh-CN" w:bidi="ar-SA"/>
        </w:rPr>
        <w:t>日，区委第四巡察组对明月社区党委开展了巡察。</w:t>
      </w:r>
      <w:r>
        <w:rPr>
          <w:rFonts w:hint="eastAsia" w:ascii="方正仿宋_GBK" w:hAnsi="方正仿宋_GBK" w:eastAsia="方正仿宋_GBK" w:cs="方正仿宋_GBK"/>
          <w:color w:val="auto"/>
          <w:kern w:val="2"/>
          <w:sz w:val="32"/>
          <w:szCs w:val="32"/>
          <w:highlight w:val="none"/>
          <w:u w:val="none" w:color="auto"/>
          <w:lang w:val="en-US" w:eastAsia="zh-CN" w:bidi="ar-SA"/>
        </w:rPr>
        <w:t>2025</w:t>
      </w:r>
      <w:r>
        <w:rPr>
          <w:rFonts w:hint="eastAsia" w:ascii="Times New Roman" w:hAnsi="Calibri" w:eastAsia="仿宋_GB2312" w:cs="Times New Roman"/>
          <w:color w:val="auto"/>
          <w:kern w:val="2"/>
          <w:sz w:val="32"/>
          <w:szCs w:val="32"/>
          <w:highlight w:val="none"/>
          <w:u w:val="none" w:color="auto"/>
          <w:lang w:val="en-US" w:eastAsia="zh-CN" w:bidi="ar-SA"/>
        </w:rPr>
        <w:t>年</w:t>
      </w:r>
      <w:r>
        <w:rPr>
          <w:rFonts w:hint="eastAsia" w:ascii="方正仿宋_GBK" w:hAnsi="方正仿宋_GBK" w:eastAsia="方正仿宋_GBK" w:cs="方正仿宋_GBK"/>
          <w:color w:val="auto"/>
          <w:kern w:val="2"/>
          <w:sz w:val="32"/>
          <w:szCs w:val="32"/>
          <w:highlight w:val="none"/>
          <w:u w:val="none" w:color="auto"/>
          <w:lang w:val="en-US" w:eastAsia="zh-CN" w:bidi="ar-SA"/>
        </w:rPr>
        <w:t>7</w:t>
      </w:r>
      <w:r>
        <w:rPr>
          <w:rFonts w:hint="eastAsia" w:ascii="Times New Roman" w:hAnsi="Calibri" w:eastAsia="仿宋_GB2312" w:cs="Times New Roman"/>
          <w:color w:val="auto"/>
          <w:kern w:val="2"/>
          <w:sz w:val="32"/>
          <w:szCs w:val="32"/>
          <w:highlight w:val="none"/>
          <w:u w:val="none" w:color="auto"/>
          <w:lang w:val="en-US" w:eastAsia="zh-CN" w:bidi="ar-SA"/>
        </w:rPr>
        <w:t>月</w:t>
      </w:r>
      <w:r>
        <w:rPr>
          <w:rFonts w:hint="eastAsia" w:ascii="方正仿宋_GBK" w:hAnsi="方正仿宋_GBK" w:eastAsia="方正仿宋_GBK" w:cs="方正仿宋_GBK"/>
          <w:color w:val="auto"/>
          <w:kern w:val="2"/>
          <w:sz w:val="32"/>
          <w:szCs w:val="32"/>
          <w:highlight w:val="none"/>
          <w:u w:val="none" w:color="auto"/>
          <w:lang w:val="en-US" w:eastAsia="zh-CN" w:bidi="ar-SA"/>
        </w:rPr>
        <w:t>28</w:t>
      </w:r>
      <w:r>
        <w:rPr>
          <w:rFonts w:hint="eastAsia" w:ascii="Times New Roman" w:hAnsi="Calibri" w:eastAsia="仿宋_GB2312" w:cs="Times New Roman"/>
          <w:color w:val="auto"/>
          <w:kern w:val="2"/>
          <w:sz w:val="32"/>
          <w:szCs w:val="32"/>
          <w:highlight w:val="none"/>
          <w:u w:val="none" w:color="auto"/>
          <w:lang w:val="en-US" w:eastAsia="zh-CN" w:bidi="ar-SA"/>
        </w:rPr>
        <w:t>日，</w:t>
      </w:r>
      <w:r>
        <w:rPr>
          <w:rFonts w:hint="eastAsia" w:hAnsi="Calibri" w:eastAsia="仿宋_GB2312" w:cs="Times New Roman"/>
          <w:color w:val="auto"/>
          <w:kern w:val="2"/>
          <w:sz w:val="32"/>
          <w:szCs w:val="32"/>
          <w:highlight w:val="none"/>
          <w:u w:val="none" w:color="auto"/>
          <w:lang w:val="en-US" w:eastAsia="zh-CN" w:bidi="ar-SA"/>
        </w:rPr>
        <w:t>区</w:t>
      </w:r>
      <w:r>
        <w:rPr>
          <w:rFonts w:hint="eastAsia" w:ascii="Times New Roman" w:hAnsi="Calibri" w:eastAsia="仿宋_GB2312" w:cs="Times New Roman"/>
          <w:color w:val="auto"/>
          <w:kern w:val="2"/>
          <w:sz w:val="32"/>
          <w:szCs w:val="32"/>
          <w:highlight w:val="none"/>
          <w:u w:val="none" w:color="auto"/>
          <w:lang w:val="en-US" w:eastAsia="zh-CN" w:bidi="ar-SA"/>
        </w:rPr>
        <w:t>委</w:t>
      </w:r>
      <w:r>
        <w:rPr>
          <w:rFonts w:hint="eastAsia" w:hAnsi="Calibri" w:eastAsia="仿宋_GB2312" w:cs="Times New Roman"/>
          <w:color w:val="auto"/>
          <w:kern w:val="2"/>
          <w:sz w:val="32"/>
          <w:szCs w:val="32"/>
          <w:highlight w:val="none"/>
          <w:u w:val="none" w:color="auto"/>
          <w:lang w:val="en-US" w:eastAsia="zh-CN" w:bidi="ar-SA"/>
        </w:rPr>
        <w:t>巡察</w:t>
      </w:r>
      <w:r>
        <w:rPr>
          <w:rFonts w:hint="eastAsia" w:ascii="Times New Roman" w:hAnsi="Calibri" w:eastAsia="仿宋_GB2312" w:cs="Times New Roman"/>
          <w:color w:val="auto"/>
          <w:kern w:val="2"/>
          <w:sz w:val="32"/>
          <w:szCs w:val="32"/>
          <w:highlight w:val="none"/>
          <w:u w:val="none" w:color="auto"/>
          <w:lang w:val="en-US" w:eastAsia="zh-CN" w:bidi="ar-SA"/>
        </w:rPr>
        <w:t>组向</w:t>
      </w:r>
      <w:r>
        <w:rPr>
          <w:rFonts w:hint="eastAsia" w:hAnsi="Calibri" w:eastAsia="仿宋_GB2312" w:cs="Times New Roman"/>
          <w:color w:val="auto"/>
          <w:kern w:val="2"/>
          <w:sz w:val="32"/>
          <w:szCs w:val="32"/>
          <w:highlight w:val="none"/>
          <w:u w:val="none" w:color="auto"/>
          <w:lang w:val="en-US" w:eastAsia="zh-CN" w:bidi="ar-SA"/>
        </w:rPr>
        <w:t>明月社区党委</w:t>
      </w:r>
      <w:r>
        <w:rPr>
          <w:rFonts w:hint="eastAsia" w:ascii="Times New Roman" w:hAnsi="Calibri" w:eastAsia="仿宋_GB2312" w:cs="Times New Roman"/>
          <w:color w:val="auto"/>
          <w:kern w:val="2"/>
          <w:sz w:val="32"/>
          <w:szCs w:val="32"/>
          <w:highlight w:val="none"/>
          <w:u w:val="none" w:color="auto"/>
          <w:lang w:val="en-US" w:eastAsia="zh-CN" w:bidi="ar-SA"/>
        </w:rPr>
        <w:t>反馈了</w:t>
      </w:r>
      <w:r>
        <w:rPr>
          <w:rFonts w:hint="eastAsia" w:hAnsi="Calibri" w:eastAsia="仿宋_GB2312" w:cs="Times New Roman"/>
          <w:color w:val="auto"/>
          <w:kern w:val="2"/>
          <w:sz w:val="32"/>
          <w:szCs w:val="32"/>
          <w:highlight w:val="none"/>
          <w:u w:val="none" w:color="auto"/>
          <w:lang w:val="en-US" w:eastAsia="zh-CN" w:bidi="ar-SA"/>
        </w:rPr>
        <w:t>巡察</w:t>
      </w:r>
      <w:r>
        <w:rPr>
          <w:rFonts w:hint="eastAsia" w:ascii="Times New Roman" w:hAnsi="Calibri" w:eastAsia="仿宋_GB2312" w:cs="Times New Roman"/>
          <w:color w:val="auto"/>
          <w:kern w:val="2"/>
          <w:sz w:val="32"/>
          <w:szCs w:val="32"/>
          <w:highlight w:val="none"/>
          <w:u w:val="none" w:color="auto"/>
          <w:lang w:val="en-US" w:eastAsia="zh-CN" w:bidi="ar-SA"/>
        </w:rPr>
        <w:t>意见。按照</w:t>
      </w:r>
      <w:r>
        <w:rPr>
          <w:rFonts w:hint="eastAsia" w:hAnsi="Calibri" w:eastAsia="仿宋_GB2312" w:cs="Times New Roman"/>
          <w:color w:val="auto"/>
          <w:kern w:val="2"/>
          <w:sz w:val="32"/>
          <w:szCs w:val="32"/>
          <w:highlight w:val="none"/>
          <w:u w:val="none" w:color="auto"/>
          <w:lang w:val="en-US" w:eastAsia="zh-CN" w:bidi="ar-SA"/>
        </w:rPr>
        <w:t>巡察</w:t>
      </w:r>
      <w:r>
        <w:rPr>
          <w:rFonts w:hint="eastAsia" w:ascii="Times New Roman" w:hAnsi="Calibri" w:eastAsia="仿宋_GB2312" w:cs="Times New Roman"/>
          <w:color w:val="auto"/>
          <w:kern w:val="2"/>
          <w:sz w:val="32"/>
          <w:szCs w:val="32"/>
          <w:highlight w:val="none"/>
          <w:u w:val="none" w:color="auto"/>
          <w:lang w:val="en-US" w:eastAsia="zh-CN" w:bidi="ar-SA"/>
        </w:rPr>
        <w:t>工作有关要求，现将</w:t>
      </w:r>
      <w:r>
        <w:rPr>
          <w:rFonts w:hint="eastAsia" w:hAnsi="Calibri" w:eastAsia="仿宋_GB2312" w:cs="Times New Roman"/>
          <w:color w:val="auto"/>
          <w:kern w:val="2"/>
          <w:sz w:val="32"/>
          <w:szCs w:val="32"/>
          <w:highlight w:val="none"/>
          <w:u w:val="none" w:color="auto"/>
          <w:lang w:val="en-US" w:eastAsia="zh-CN" w:bidi="ar-SA"/>
        </w:rPr>
        <w:t>巡察</w:t>
      </w:r>
      <w:r>
        <w:rPr>
          <w:rFonts w:hint="eastAsia" w:ascii="Times New Roman" w:hAnsi="Calibri" w:eastAsia="仿宋_GB2312" w:cs="Times New Roman"/>
          <w:color w:val="auto"/>
          <w:kern w:val="2"/>
          <w:sz w:val="32"/>
          <w:szCs w:val="32"/>
          <w:highlight w:val="none"/>
          <w:u w:val="none" w:color="auto"/>
          <w:lang w:val="en-US" w:eastAsia="zh-CN" w:bidi="ar-SA"/>
        </w:rPr>
        <w:t>整改进展情况予以公布。</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0" w:firstLineChars="197"/>
        <w:jc w:val="left"/>
        <w:textAlignment w:val="auto"/>
        <w:outlineLvl w:val="9"/>
        <w:rPr>
          <w:rFonts w:hint="eastAsia" w:ascii="黑体" w:hAnsi="黑体" w:eastAsia="黑体" w:cs="黑体"/>
          <w:b w:val="0"/>
          <w:bCs/>
          <w:snapToGrid w:val="0"/>
          <w:color w:val="auto"/>
          <w:spacing w:val="0"/>
          <w:kern w:val="0"/>
          <w:sz w:val="32"/>
          <w:szCs w:val="32"/>
          <w:u w:val="none" w:color="auto"/>
          <w:lang w:eastAsia="zh-CN"/>
        </w:rPr>
      </w:pPr>
      <w:r>
        <w:rPr>
          <w:rFonts w:hint="eastAsia" w:ascii="黑体" w:hAnsi="黑体" w:eastAsia="黑体" w:cs="黑体"/>
          <w:b w:val="0"/>
          <w:bCs/>
          <w:snapToGrid w:val="0"/>
          <w:color w:val="auto"/>
          <w:spacing w:val="0"/>
          <w:kern w:val="0"/>
          <w:sz w:val="32"/>
          <w:szCs w:val="32"/>
          <w:highlight w:val="none"/>
          <w:u w:val="none" w:color="auto"/>
          <w:lang w:eastAsia="zh-CN"/>
        </w:rPr>
        <w:t>一、党</w:t>
      </w:r>
      <w:r>
        <w:rPr>
          <w:rFonts w:hint="eastAsia" w:ascii="黑体" w:hAnsi="黑体" w:eastAsia="黑体" w:cs="黑体"/>
          <w:b w:val="0"/>
          <w:bCs/>
          <w:snapToGrid w:val="0"/>
          <w:color w:val="auto"/>
          <w:spacing w:val="0"/>
          <w:kern w:val="0"/>
          <w:sz w:val="32"/>
          <w:szCs w:val="32"/>
          <w:highlight w:val="none"/>
          <w:u w:val="none" w:color="auto"/>
          <w:lang w:val="en-US" w:eastAsia="zh-CN"/>
        </w:rPr>
        <w:t>组织</w:t>
      </w:r>
      <w:r>
        <w:rPr>
          <w:rFonts w:hint="eastAsia" w:ascii="黑体" w:hAnsi="黑体" w:eastAsia="黑体" w:cs="黑体"/>
          <w:b w:val="0"/>
          <w:bCs/>
          <w:snapToGrid w:val="0"/>
          <w:color w:val="auto"/>
          <w:spacing w:val="0"/>
          <w:kern w:val="0"/>
          <w:sz w:val="32"/>
          <w:szCs w:val="32"/>
          <w:highlight w:val="none"/>
          <w:u w:val="none" w:color="auto"/>
          <w:lang w:eastAsia="zh-CN"/>
        </w:rPr>
        <w:t>履行巡察整</w:t>
      </w:r>
      <w:r>
        <w:rPr>
          <w:rFonts w:hint="eastAsia" w:ascii="黑体" w:hAnsi="黑体" w:eastAsia="黑体" w:cs="黑体"/>
          <w:b w:val="0"/>
          <w:bCs/>
          <w:snapToGrid w:val="0"/>
          <w:color w:val="auto"/>
          <w:spacing w:val="0"/>
          <w:kern w:val="0"/>
          <w:sz w:val="32"/>
          <w:szCs w:val="32"/>
          <w:u w:val="none" w:color="auto"/>
          <w:lang w:eastAsia="zh-CN"/>
        </w:rPr>
        <w:t>改主体责任情况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left"/>
        <w:textAlignment w:val="auto"/>
        <w:rPr>
          <w:rFonts w:hint="eastAsia" w:ascii="Times New Roman" w:hAnsi="Calibri" w:eastAsia="仿宋_GB2312" w:cs="Times New Roman"/>
          <w:color w:val="auto"/>
          <w:kern w:val="2"/>
          <w:sz w:val="32"/>
          <w:szCs w:val="32"/>
          <w:highlight w:val="none"/>
          <w:u w:val="none" w:color="auto"/>
          <w:lang w:val="en-US" w:eastAsia="zh-CN" w:bidi="ar-SA"/>
        </w:rPr>
      </w:pPr>
      <w:r>
        <w:rPr>
          <w:rFonts w:hint="eastAsia" w:ascii="楷体_GB2312" w:hAnsi="楷体_GB2312" w:eastAsia="楷体_GB2312" w:cs="楷体_GB2312"/>
          <w:b w:val="0"/>
          <w:bCs w:val="0"/>
          <w:color w:val="auto"/>
          <w:kern w:val="2"/>
          <w:sz w:val="32"/>
          <w:szCs w:val="32"/>
          <w:u w:val="none" w:color="auto"/>
          <w:lang w:val="en-US" w:eastAsia="zh-CN" w:bidi="ar-SA"/>
        </w:rPr>
        <w:t>（一）提高政治站位，压实主体责任。</w:t>
      </w:r>
      <w:r>
        <w:rPr>
          <w:rFonts w:hint="eastAsia" w:ascii="Times New Roman" w:hAnsi="Calibri" w:eastAsia="仿宋_GB2312" w:cs="Times New Roman"/>
          <w:color w:val="auto"/>
          <w:kern w:val="2"/>
          <w:sz w:val="32"/>
          <w:szCs w:val="32"/>
          <w:highlight w:val="none"/>
          <w:u w:val="none" w:color="auto"/>
          <w:lang w:val="en-US" w:eastAsia="zh-CN" w:bidi="ar-SA"/>
        </w:rPr>
        <w:t>社区党委深入贯彻习近平总书记关于巡视工作的重要论述，严格落实巡察整改部署，将整改作为重大政治任务抓紧抓实。社区党委成立巡察整改工作领导小组，由社区党委书记任组长，切实履行主体责任。逐项梳理反馈问题，制定整改方案，明确责任分工、整改措施和完成时限，确保整改有序推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Calibri" w:eastAsia="仿宋_GB2312" w:cs="Times New Roman"/>
          <w:color w:val="auto"/>
          <w:kern w:val="2"/>
          <w:sz w:val="32"/>
          <w:szCs w:val="32"/>
          <w:highlight w:val="none"/>
          <w:u w:val="none" w:color="auto"/>
          <w:lang w:val="en-US" w:eastAsia="zh-CN" w:bidi="ar-SA"/>
        </w:rPr>
      </w:pPr>
      <w:r>
        <w:rPr>
          <w:rFonts w:hint="eastAsia" w:ascii="楷体_GB2312" w:hAnsi="楷体_GB2312" w:eastAsia="楷体_GB2312" w:cs="楷体_GB2312"/>
          <w:b w:val="0"/>
          <w:bCs w:val="0"/>
          <w:color w:val="auto"/>
          <w:kern w:val="2"/>
          <w:sz w:val="32"/>
          <w:szCs w:val="32"/>
          <w:u w:val="none" w:color="auto"/>
          <w:lang w:val="en-US" w:eastAsia="zh-CN" w:bidi="ar-SA"/>
        </w:rPr>
        <w:t>（二）强化责任担当，狠抓整改落实。</w:t>
      </w:r>
      <w:r>
        <w:rPr>
          <w:rFonts w:hint="eastAsia" w:ascii="Times New Roman" w:hAnsi="Calibri" w:eastAsia="仿宋_GB2312" w:cs="Times New Roman"/>
          <w:color w:val="auto"/>
          <w:kern w:val="2"/>
          <w:sz w:val="32"/>
          <w:szCs w:val="32"/>
          <w:highlight w:val="none"/>
          <w:u w:val="none" w:color="auto"/>
          <w:lang w:val="en-US" w:eastAsia="zh-CN" w:bidi="ar-SA"/>
        </w:rPr>
        <w:t>社区党委书记扛牢巡察整改第一责任人职责，深入基层调研、倾听群众诉求，确保整改措施贴合实际、精准发力。以问题为导向，对反馈问题全程过问、跟踪督办，确保整改实效。定期研究整改进展、解决难点问题，及时汇报工作，接受监督指导，以高度政治责任感推动整改落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黑体" w:hAnsi="黑体" w:eastAsia="黑体" w:cs="黑体"/>
          <w:b w:val="0"/>
          <w:bCs/>
          <w:snapToGrid w:val="0"/>
          <w:color w:val="auto"/>
          <w:spacing w:val="0"/>
          <w:kern w:val="0"/>
          <w:sz w:val="32"/>
          <w:szCs w:val="32"/>
          <w:u w:val="none" w:color="auto"/>
          <w:lang w:eastAsia="zh-CN"/>
        </w:rPr>
      </w:pPr>
      <w:r>
        <w:rPr>
          <w:rFonts w:hint="eastAsia" w:ascii="楷体_GB2312" w:hAnsi="楷体_GB2312" w:eastAsia="楷体_GB2312" w:cs="楷体_GB2312"/>
          <w:b w:val="0"/>
          <w:bCs w:val="0"/>
          <w:color w:val="auto"/>
          <w:kern w:val="2"/>
          <w:sz w:val="32"/>
          <w:szCs w:val="32"/>
          <w:u w:val="none" w:color="auto"/>
          <w:lang w:val="en-US" w:eastAsia="zh-CN" w:bidi="ar-SA"/>
        </w:rPr>
        <w:t>（三）深化标本兼治，巩固整改成效。</w:t>
      </w:r>
      <w:r>
        <w:rPr>
          <w:rFonts w:hint="eastAsia" w:ascii="Times New Roman" w:hAnsi="Calibri" w:eastAsia="仿宋_GB2312" w:cs="Times New Roman"/>
          <w:color w:val="auto"/>
          <w:kern w:val="2"/>
          <w:sz w:val="32"/>
          <w:szCs w:val="32"/>
          <w:highlight w:val="none"/>
          <w:u w:val="none" w:color="auto"/>
          <w:lang w:val="en-US" w:eastAsia="zh-CN" w:bidi="ar-SA"/>
        </w:rPr>
        <w:t>坚持举一反三、以点带面，在解决具体问题的同时，着力完善制度机制、强化监督管理。将巡察整改成果转化为社区治理效能，持续提升社区治理体系和治理能力现代化水平。</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0" w:firstLineChars="197"/>
        <w:jc w:val="left"/>
        <w:textAlignment w:val="auto"/>
        <w:outlineLvl w:val="9"/>
        <w:rPr>
          <w:rFonts w:hint="eastAsia" w:ascii="黑体" w:hAnsi="黑体" w:eastAsia="黑体" w:cs="黑体"/>
          <w:b w:val="0"/>
          <w:bCs/>
          <w:snapToGrid w:val="0"/>
          <w:color w:val="auto"/>
          <w:spacing w:val="0"/>
          <w:kern w:val="0"/>
          <w:sz w:val="32"/>
          <w:szCs w:val="32"/>
          <w:u w:val="none" w:color="auto"/>
          <w:lang w:eastAsia="zh-CN"/>
        </w:rPr>
      </w:pPr>
      <w:r>
        <w:rPr>
          <w:rFonts w:hint="eastAsia" w:ascii="黑体" w:hAnsi="黑体" w:eastAsia="黑体" w:cs="黑体"/>
          <w:b w:val="0"/>
          <w:bCs/>
          <w:snapToGrid w:val="0"/>
          <w:color w:val="auto"/>
          <w:spacing w:val="0"/>
          <w:kern w:val="0"/>
          <w:sz w:val="32"/>
          <w:szCs w:val="32"/>
          <w:u w:val="none" w:color="auto"/>
          <w:lang w:eastAsia="zh-CN"/>
        </w:rPr>
        <w:t>二、巡察整改任务落实情况</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楷体_GB2312" w:hAnsi="楷体_GB2312" w:eastAsia="楷体_GB2312" w:cs="楷体_GB2312"/>
          <w:b w:val="0"/>
          <w:bCs w:val="0"/>
          <w:color w:val="auto"/>
          <w:kern w:val="2"/>
          <w:sz w:val="32"/>
          <w:szCs w:val="32"/>
          <w:u w:val="none" w:color="auto"/>
          <w:lang w:val="en-US" w:eastAsia="zh-CN" w:bidi="ar-SA"/>
        </w:rPr>
      </w:pPr>
      <w:r>
        <w:rPr>
          <w:rFonts w:hint="eastAsia" w:ascii="楷体_GB2312" w:hAnsi="楷体_GB2312" w:eastAsia="楷体_GB2312" w:cs="楷体_GB2312"/>
          <w:b w:val="0"/>
          <w:bCs w:val="0"/>
          <w:color w:val="auto"/>
          <w:kern w:val="2"/>
          <w:sz w:val="32"/>
          <w:szCs w:val="32"/>
          <w:u w:val="none" w:color="auto"/>
          <w:lang w:val="en-US" w:eastAsia="zh-CN" w:bidi="ar-SA"/>
        </w:rPr>
        <w:t>（一）全面完成巡查整改</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strike w:val="0"/>
          <w:dstrike w:val="0"/>
          <w:color w:val="auto"/>
          <w:spacing w:val="0"/>
          <w:kern w:val="2"/>
          <w:sz w:val="32"/>
          <w:szCs w:val="32"/>
          <w:u w:val="none" w:color="auto"/>
          <w:lang w:val="en-US" w:eastAsia="zh-CN" w:bidi="ar-SA"/>
        </w:rPr>
      </w:pPr>
      <w:r>
        <w:rPr>
          <w:rFonts w:hint="eastAsia" w:ascii="Times New Roman" w:hAnsi="Times New Roman" w:eastAsia="仿宋_GB2312" w:cs="Times New Roman"/>
          <w:strike w:val="0"/>
          <w:dstrike w:val="0"/>
          <w:color w:val="auto"/>
          <w:spacing w:val="0"/>
          <w:kern w:val="2"/>
          <w:sz w:val="32"/>
          <w:szCs w:val="32"/>
          <w:u w:val="none" w:color="auto"/>
          <w:lang w:val="en-US" w:eastAsia="zh-CN" w:bidi="ar-SA"/>
        </w:rPr>
        <w:t>一是全面复核项目资料及数据，确保资料真实完整、数据准确合规；二是深入排查项目，完善资料审核流程，细化工作标准，强化全过程监督管控；</w:t>
      </w:r>
      <w:r>
        <w:rPr>
          <w:rFonts w:hint="eastAsia" w:ascii="Times New Roman" w:hAnsi="Times New Roman" w:eastAsia="仿宋_GB2312" w:cs="仿宋_GB2312"/>
          <w:color w:val="auto"/>
          <w:spacing w:val="0"/>
          <w:sz w:val="32"/>
          <w:szCs w:val="32"/>
          <w:highlight w:val="none"/>
          <w:u w:val="none" w:color="auto"/>
          <w:lang w:eastAsia="zh-CN"/>
        </w:rPr>
        <w:t>三是规范执行工作制度，确保流程闭环管理，提升项目决策科学性与运行规范性。</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16" w:firstLineChars="200"/>
        <w:jc w:val="left"/>
        <w:textAlignment w:val="auto"/>
        <w:outlineLvl w:val="9"/>
        <w:rPr>
          <w:rFonts w:hint="eastAsia" w:ascii="Times New Roman" w:hAnsi="Times New Roman" w:eastAsia="仿宋_GB2312" w:cs="Times New Roman"/>
          <w:strike w:val="0"/>
          <w:dstrike w:val="0"/>
          <w:color w:val="auto"/>
          <w:spacing w:val="-6"/>
          <w:kern w:val="2"/>
          <w:sz w:val="32"/>
          <w:szCs w:val="32"/>
          <w:u w:val="none" w:color="auto"/>
          <w:lang w:val="en-US" w:eastAsia="zh-CN" w:bidi="ar-SA"/>
        </w:rPr>
      </w:pPr>
      <w:r>
        <w:rPr>
          <w:rFonts w:hint="eastAsia" w:ascii="楷体_GB2312" w:hAnsi="楷体_GB2312" w:eastAsia="楷体_GB2312" w:cs="楷体_GB2312"/>
          <w:color w:val="auto"/>
          <w:spacing w:val="-6"/>
          <w:kern w:val="2"/>
          <w:sz w:val="32"/>
          <w:szCs w:val="32"/>
          <w:u w:val="none" w:color="auto"/>
          <w:lang w:val="en-US" w:eastAsia="zh-CN" w:bidi="ar-SA"/>
        </w:rPr>
        <w:t>（二）关于党的路线方针政策执行及上级工作部署落地情况方面</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left"/>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kern w:val="2"/>
          <w:sz w:val="32"/>
          <w:szCs w:val="32"/>
          <w:u w:val="none" w:color="auto"/>
          <w:lang w:val="en-US" w:eastAsia="zh-CN" w:bidi="ar-SA"/>
        </w:rPr>
        <w:t>1.深入做好“第一议题”学习。</w:t>
      </w:r>
      <w:r>
        <w:rPr>
          <w:rFonts w:hint="eastAsia" w:ascii="仿宋_GB2312" w:hAnsi="仿宋_GB2312" w:eastAsia="仿宋_GB2312" w:cs="仿宋_GB2312"/>
          <w:color w:val="auto"/>
          <w:kern w:val="2"/>
          <w:sz w:val="32"/>
          <w:szCs w:val="32"/>
          <w:u w:val="none" w:color="auto"/>
          <w:lang w:val="en-US" w:eastAsia="zh-CN" w:bidi="ar-SA"/>
        </w:rPr>
        <w:t>一是落实专题研究部署学习工作，明确学习责任与推进要求。二是严格执行学习制度，规范开展学习交流、研讨剖析，提升学习质量。三是梳理完善学习流程，建立常态化学习机制，确保制度长效落实。</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left"/>
        <w:textAlignment w:val="auto"/>
        <w:outlineLvl w:val="9"/>
        <w:rPr>
          <w:rFonts w:hint="eastAsia" w:ascii="楷体_GB2312" w:hAnsi="楷体_GB2312" w:eastAsia="楷体_GB2312" w:cs="楷体_GB2312"/>
          <w:color w:val="auto"/>
          <w:kern w:val="2"/>
          <w:sz w:val="32"/>
          <w:szCs w:val="32"/>
          <w:u w:val="none" w:color="auto"/>
          <w:lang w:val="en-US" w:eastAsia="zh-CN" w:bidi="ar-SA"/>
        </w:rPr>
      </w:pPr>
      <w:r>
        <w:rPr>
          <w:rFonts w:hint="eastAsia" w:ascii="仿宋_GB2312" w:hAnsi="仿宋_GB2312" w:eastAsia="仿宋_GB2312" w:cs="仿宋_GB2312"/>
          <w:b/>
          <w:bCs/>
          <w:color w:val="auto"/>
          <w:kern w:val="2"/>
          <w:sz w:val="32"/>
          <w:szCs w:val="32"/>
          <w:u w:val="none" w:color="auto"/>
          <w:lang w:val="en-US" w:eastAsia="zh-CN" w:bidi="ar-SA"/>
        </w:rPr>
        <w:t>2.深化“百千万工程”推进落实。</w:t>
      </w:r>
      <w:r>
        <w:rPr>
          <w:rFonts w:hint="eastAsia" w:ascii="仿宋_GB2312" w:hAnsi="仿宋_GB2312" w:eastAsia="仿宋_GB2312" w:cs="仿宋_GB2312"/>
          <w:color w:val="auto"/>
          <w:kern w:val="2"/>
          <w:sz w:val="32"/>
          <w:szCs w:val="32"/>
          <w:u w:val="none" w:color="auto"/>
          <w:lang w:val="en-US" w:eastAsia="zh-CN" w:bidi="ar-SA"/>
        </w:rPr>
        <w:t>一是盘活社区场地资源，全面排查梳理辖区可利用公共资源，拓展养老服务阵地。二是以覆盖全年龄段居民为核心导向，联动辖区优质企业，策划打造群众关注度高、参与度广的特色活动。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2" w:firstLineChars="200"/>
        <w:jc w:val="left"/>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kern w:val="2"/>
          <w:sz w:val="32"/>
          <w:szCs w:val="32"/>
          <w:u w:val="none" w:color="auto"/>
          <w:lang w:val="en-US" w:eastAsia="zh-CN" w:bidi="ar-SA"/>
        </w:rPr>
        <w:t>3.聚焦安全生产风险隐患治理。</w:t>
      </w:r>
      <w:r>
        <w:rPr>
          <w:rFonts w:hint="eastAsia" w:ascii="仿宋_GB2312" w:hAnsi="仿宋_GB2312" w:eastAsia="仿宋_GB2312" w:cs="仿宋_GB2312"/>
          <w:color w:val="auto"/>
          <w:kern w:val="2"/>
          <w:sz w:val="32"/>
          <w:szCs w:val="32"/>
          <w:u w:val="none" w:color="auto"/>
          <w:lang w:val="en-US" w:eastAsia="zh-CN" w:bidi="ar-SA"/>
        </w:rPr>
        <w:t>一是严格落实安全管理责任，规范开展定期定量巡查，强化日常安全监管。二是常态化开展安全警示与治安宣传，加强风险提示和引导，提升居民防范意识。三是强化重点场所消防安全巡查督导筑牢重点领域安全防线。</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2" w:firstLineChars="200"/>
        <w:jc w:val="left"/>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kern w:val="2"/>
          <w:sz w:val="32"/>
          <w:szCs w:val="32"/>
          <w:u w:val="none" w:color="auto"/>
          <w:lang w:val="en-US" w:eastAsia="zh-CN" w:bidi="ar-SA"/>
        </w:rPr>
        <w:t>4.强化消防安全常态监管。</w:t>
      </w:r>
      <w:r>
        <w:rPr>
          <w:rFonts w:hint="eastAsia" w:ascii="仿宋_GB2312" w:hAnsi="仿宋_GB2312" w:eastAsia="仿宋_GB2312" w:cs="仿宋_GB2312"/>
          <w:color w:val="auto"/>
          <w:kern w:val="2"/>
          <w:sz w:val="32"/>
          <w:szCs w:val="32"/>
          <w:u w:val="none" w:color="auto"/>
          <w:lang w:val="en-US" w:eastAsia="zh-CN" w:bidi="ar-SA"/>
        </w:rPr>
        <w:t>一是深化消防安全宣传教育，切实增强群众消防安全意识。二是从严抓实消防安全管控，常态化开展消防警示教育与隐患排查整治，压实网格员巡查责任。三是扎实推进违法建设整治，规范开展沿街门店清理，依法有序拆除违建，严控新增违建。</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2" w:firstLineChars="200"/>
        <w:jc w:val="left"/>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kern w:val="2"/>
          <w:sz w:val="32"/>
          <w:szCs w:val="32"/>
          <w:u w:val="none" w:color="auto"/>
          <w:lang w:val="en-US" w:eastAsia="zh-CN" w:bidi="ar-SA"/>
        </w:rPr>
        <w:t>5.深入推进市容秩序整治。</w:t>
      </w:r>
      <w:r>
        <w:rPr>
          <w:rFonts w:hint="eastAsia" w:ascii="仿宋_GB2312" w:hAnsi="仿宋_GB2312" w:eastAsia="仿宋_GB2312" w:cs="仿宋_GB2312"/>
          <w:color w:val="auto"/>
          <w:kern w:val="2"/>
          <w:sz w:val="32"/>
          <w:szCs w:val="32"/>
          <w:u w:val="none" w:color="auto"/>
          <w:lang w:val="en-US" w:eastAsia="zh-CN" w:bidi="ar-SA"/>
        </w:rPr>
        <w:t>一是联合小区物业、街道执法队开展专项整治，针对临街店铺“门前三包”突出问题，上门宣导责任、现场督促整改。二是强化“门前三包”宣传引导，提升相关主体责任意识，健全长效管控机制。三是建立联合巡查机制，联动街道城管、环卫部门开展常态化巡查，强化闭环管理。</w:t>
      </w:r>
    </w:p>
    <w:p>
      <w:pPr>
        <w:keepNext w:val="0"/>
        <w:keepLines w:val="0"/>
        <w:pageBreakBefore w:val="0"/>
        <w:widowControl/>
        <w:numPr>
          <w:ilvl w:val="0"/>
          <w:numId w:val="0"/>
        </w:numPr>
        <w:suppressLineNumbers w:val="0"/>
        <w:kinsoku/>
        <w:wordWrap/>
        <w:overflowPunct/>
        <w:topLinePunct w:val="0"/>
        <w:autoSpaceDE/>
        <w:autoSpaceDN/>
        <w:bidi w:val="0"/>
        <w:spacing w:line="560" w:lineRule="exact"/>
        <w:ind w:firstLine="642" w:firstLineChars="200"/>
        <w:jc w:val="left"/>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kern w:val="2"/>
          <w:sz w:val="32"/>
          <w:szCs w:val="32"/>
          <w:u w:val="none" w:color="auto"/>
          <w:lang w:val="en-US" w:eastAsia="zh-CN" w:bidi="ar-SA"/>
        </w:rPr>
        <w:t>6.强化矛盾纠纷排查化解。</w:t>
      </w:r>
      <w:r>
        <w:rPr>
          <w:rFonts w:hint="eastAsia" w:ascii="仿宋_GB2312" w:hAnsi="仿宋_GB2312" w:eastAsia="仿宋_GB2312" w:cs="仿宋_GB2312"/>
          <w:color w:val="auto"/>
          <w:kern w:val="2"/>
          <w:sz w:val="32"/>
          <w:szCs w:val="32"/>
          <w:u w:val="none" w:color="auto"/>
          <w:lang w:val="en-US" w:eastAsia="zh-CN" w:bidi="ar-SA"/>
        </w:rPr>
        <w:t>一是扎实推进矛盾纠纷化解，明确网格工作职责，建立异常情况及时上报机制。二是联合法律顾问开展常态化普法宣传，引导群众依法理性维权。</w:t>
      </w:r>
    </w:p>
    <w:p>
      <w:pPr>
        <w:keepNext w:val="0"/>
        <w:keepLines w:val="0"/>
        <w:pageBreakBefore w:val="0"/>
        <w:widowControl/>
        <w:numPr>
          <w:ilvl w:val="0"/>
          <w:numId w:val="0"/>
        </w:numPr>
        <w:suppressLineNumbers w:val="0"/>
        <w:kinsoku/>
        <w:wordWrap/>
        <w:overflowPunct/>
        <w:topLinePunct w:val="0"/>
        <w:autoSpaceDE/>
        <w:autoSpaceDN/>
        <w:bidi w:val="0"/>
        <w:spacing w:line="560" w:lineRule="exact"/>
        <w:ind w:firstLine="642" w:firstLineChars="200"/>
        <w:jc w:val="left"/>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kern w:val="2"/>
          <w:sz w:val="32"/>
          <w:szCs w:val="32"/>
          <w:u w:val="none" w:color="auto"/>
          <w:lang w:val="en-US" w:eastAsia="zh-CN" w:bidi="ar-SA"/>
        </w:rPr>
        <w:t>7.筑牢意识形态安全防线。</w:t>
      </w:r>
      <w:r>
        <w:rPr>
          <w:rFonts w:hint="default" w:ascii="仿宋_GB2312" w:hAnsi="仿宋_GB2312" w:eastAsia="仿宋_GB2312" w:cs="仿宋_GB2312"/>
          <w:color w:val="auto"/>
          <w:kern w:val="2"/>
          <w:sz w:val="32"/>
          <w:szCs w:val="32"/>
          <w:u w:val="none" w:color="auto"/>
          <w:lang w:val="en-US" w:eastAsia="zh-CN" w:bidi="ar-SA"/>
        </w:rPr>
        <w:t>健全常态化巡查管控机制，扩大检查覆盖范围、加密巡查频次</w:t>
      </w:r>
      <w:r>
        <w:rPr>
          <w:rFonts w:hint="eastAsia" w:ascii="仿宋_GB2312" w:hAnsi="仿宋_GB2312" w:eastAsia="仿宋_GB2312" w:cs="仿宋_GB2312"/>
          <w:color w:val="auto"/>
          <w:kern w:val="2"/>
          <w:sz w:val="32"/>
          <w:szCs w:val="32"/>
          <w:u w:val="none" w:color="auto"/>
          <w:lang w:val="en-US" w:eastAsia="zh-CN" w:bidi="ar-SA"/>
        </w:rPr>
        <w:t xml:space="preserve">。 </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楷体_GB2312" w:hAnsi="楷体_GB2312" w:eastAsia="楷体_GB2312" w:cs="楷体_GB2312"/>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（三）关于落实全面从严治党及强化群众诉求服务管理方面</w:t>
      </w:r>
    </w:p>
    <w:p>
      <w:pPr>
        <w:keepNext w:val="0"/>
        <w:keepLines w:val="0"/>
        <w:pageBreakBefore w:val="0"/>
        <w:widowControl/>
        <w:numPr>
          <w:ilvl w:val="0"/>
          <w:numId w:val="0"/>
        </w:numPr>
        <w:suppressLineNumbers w:val="0"/>
        <w:kinsoku/>
        <w:wordWrap/>
        <w:overflowPunct/>
        <w:topLinePunct w:val="0"/>
        <w:autoSpaceDE/>
        <w:autoSpaceDN/>
        <w:bidi w:val="0"/>
        <w:spacing w:line="560" w:lineRule="exact"/>
        <w:ind w:firstLine="642" w:firstLineChars="200"/>
        <w:jc w:val="left"/>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kern w:val="2"/>
          <w:sz w:val="32"/>
          <w:szCs w:val="32"/>
          <w:u w:val="none" w:color="auto"/>
          <w:lang w:val="en-US" w:eastAsia="zh-CN" w:bidi="ar-SA"/>
        </w:rPr>
        <w:t>1.压实全面从严治党“两个责任”。</w:t>
      </w:r>
      <w:r>
        <w:rPr>
          <w:rFonts w:hint="eastAsia" w:ascii="仿宋_GB2312" w:hAnsi="仿宋_GB2312" w:eastAsia="仿宋_GB2312" w:cs="仿宋_GB2312"/>
          <w:color w:val="auto"/>
          <w:kern w:val="2"/>
          <w:sz w:val="32"/>
          <w:szCs w:val="32"/>
          <w:u w:val="none" w:color="auto"/>
          <w:lang w:val="en-US" w:eastAsia="zh-CN" w:bidi="ar-SA"/>
        </w:rPr>
        <w:t>一是持续强化理论武装，专题部署主题教育并明晰推进路径，健全长效机制推动主题教育常态长效开展。二是规范绩效考评管理，严明工作纪律、锤炼工作作风，督促干部职工严守纪律底线。三是加强部门协同联动，推进考核数据互通共享。</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left"/>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kern w:val="2"/>
          <w:sz w:val="32"/>
          <w:szCs w:val="32"/>
          <w:u w:val="none" w:color="auto"/>
          <w:lang w:val="en-US" w:eastAsia="zh-CN" w:bidi="ar-SA"/>
        </w:rPr>
        <w:t>2.严格执行补贴发放审批制度。</w:t>
      </w:r>
      <w:r>
        <w:rPr>
          <w:rFonts w:hint="eastAsia" w:ascii="仿宋_GB2312" w:hAnsi="仿宋_GB2312" w:eastAsia="仿宋_GB2312" w:cs="仿宋_GB2312"/>
          <w:color w:val="auto"/>
          <w:kern w:val="2"/>
          <w:sz w:val="32"/>
          <w:szCs w:val="32"/>
          <w:u w:val="none" w:color="auto"/>
          <w:lang w:val="en-US" w:eastAsia="zh-CN" w:bidi="ar-SA"/>
        </w:rPr>
        <w:t>一是规范补贴发放管理，精准调整发放标准、严格界定发放范围，强化政策学习宣讲，严格执行标准规范，保障补贴合规发放。二是健全常态化管控机制，完善相关台账。</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left"/>
        <w:textAlignment w:val="auto"/>
        <w:outlineLvl w:val="9"/>
        <w:rPr>
          <w:rFonts w:hint="eastAsia" w:ascii="黑体" w:hAnsi="黑体" w:eastAsia="黑体" w:cs="黑体"/>
          <w:b w:val="0"/>
          <w:bCs/>
          <w:snapToGrid w:val="0"/>
          <w:color w:val="auto"/>
          <w:spacing w:val="0"/>
          <w:kern w:val="0"/>
          <w:sz w:val="32"/>
          <w:szCs w:val="32"/>
          <w:u w:val="none" w:color="auto"/>
          <w:lang w:eastAsia="zh-CN"/>
        </w:rPr>
      </w:pPr>
      <w:r>
        <w:rPr>
          <w:rFonts w:hint="eastAsia" w:ascii="仿宋_GB2312" w:hAnsi="仿宋_GB2312" w:eastAsia="仿宋_GB2312" w:cs="仿宋_GB2312"/>
          <w:b/>
          <w:bCs/>
          <w:color w:val="auto"/>
          <w:kern w:val="2"/>
          <w:sz w:val="32"/>
          <w:szCs w:val="32"/>
          <w:u w:val="none" w:color="auto"/>
          <w:lang w:val="en-US" w:eastAsia="zh-CN" w:bidi="ar-SA"/>
        </w:rPr>
        <w:t>3.扎实推进民生微实事规范执行。</w:t>
      </w:r>
      <w:bookmarkStart w:id="0" w:name="OLE_LINK5"/>
      <w:r>
        <w:rPr>
          <w:rFonts w:hint="eastAsia" w:ascii="仿宋_GB2312" w:hAnsi="仿宋_GB2312" w:eastAsia="仿宋_GB2312" w:cs="仿宋_GB2312"/>
          <w:color w:val="auto"/>
          <w:kern w:val="2"/>
          <w:sz w:val="32"/>
          <w:szCs w:val="32"/>
          <w:u w:val="none" w:color="auto"/>
          <w:lang w:val="en-US" w:eastAsia="zh-CN" w:bidi="ar-SA"/>
        </w:rPr>
        <w:t>一是快速响应群众诉求，满足居民休闲需求，加强项目使用引导，完善安全保障与风险防控机制。二是深化成果运用，强化宣传引导，持续巩固整改成效。三是强化监督抽查，及时整改问题，总结共性情况、优化资源配置、健全物资管理。</w:t>
      </w:r>
    </w:p>
    <w:bookmarkEnd w:id="0"/>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2" w:firstLineChars="200"/>
        <w:jc w:val="left"/>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kern w:val="2"/>
          <w:sz w:val="32"/>
          <w:szCs w:val="32"/>
          <w:u w:val="none" w:color="auto"/>
          <w:lang w:val="en-US" w:eastAsia="zh-CN" w:bidi="ar-SA"/>
        </w:rPr>
        <w:t>4.严格落实群众工作责任要求。</w:t>
      </w:r>
      <w:r>
        <w:rPr>
          <w:rFonts w:hint="eastAsia" w:ascii="仿宋_GB2312" w:hAnsi="仿宋_GB2312" w:eastAsia="仿宋_GB2312" w:cs="仿宋_GB2312"/>
          <w:color w:val="auto"/>
          <w:kern w:val="2"/>
          <w:sz w:val="32"/>
          <w:szCs w:val="32"/>
          <w:u w:val="none" w:color="auto"/>
          <w:lang w:val="en-US" w:eastAsia="zh-CN" w:bidi="ar-SA"/>
        </w:rPr>
        <w:t>一是规范群众诉求处置流程，健全多部门协同机制，提升诉求一次性处置效能。二是开展业务培训，健全“处置必跟踪”机制，强化回访核查。三是完善信息互通与反馈机制，优化流程衔接，提升群众满意度。四是整合多方力量，推进特殊困难老年群体关怀服务，保障老年群体权益。</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eastAsia" w:ascii="楷体_GB2312" w:hAnsi="楷体_GB2312" w:eastAsia="楷体_GB2312" w:cs="楷体_GB2312"/>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（四）关于落实新时代党的组织路线建设方面</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2" w:firstLineChars="200"/>
        <w:jc w:val="left"/>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kern w:val="2"/>
          <w:sz w:val="32"/>
          <w:szCs w:val="32"/>
          <w:u w:val="none" w:color="auto"/>
          <w:lang w:val="en-US" w:eastAsia="zh-CN" w:bidi="ar-SA"/>
        </w:rPr>
        <w:t>1.严格加强领导班子自身建设。</w:t>
      </w:r>
      <w:r>
        <w:rPr>
          <w:rFonts w:hint="eastAsia" w:ascii="仿宋_GB2312" w:hAnsi="仿宋_GB2312" w:eastAsia="仿宋_GB2312" w:cs="仿宋_GB2312"/>
          <w:color w:val="auto"/>
          <w:kern w:val="2"/>
          <w:sz w:val="32"/>
          <w:szCs w:val="32"/>
          <w:u w:val="none" w:color="auto"/>
          <w:lang w:val="en-US" w:eastAsia="zh-CN" w:bidi="ar-SA"/>
        </w:rPr>
        <w:t>一是规范换届流程、拓宽征集渠道、储备预备人选，保障换届有序推进。二是规范党委会议管理，明确计划标准、严格记录要求，保障会议规范有序。三是严格落实“三重一大”决策制度，执行书记末位表态机制，保障决策规范透明。</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left"/>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kern w:val="2"/>
          <w:sz w:val="32"/>
          <w:szCs w:val="32"/>
          <w:u w:val="none" w:color="auto"/>
          <w:lang w:val="en-US" w:eastAsia="zh-CN" w:bidi="ar-SA"/>
        </w:rPr>
        <w:t>2.夯实基层党组织建设。</w:t>
      </w:r>
      <w:r>
        <w:rPr>
          <w:rFonts w:hint="eastAsia" w:ascii="仿宋_GB2312" w:hAnsi="仿宋_GB2312" w:eastAsia="仿宋_GB2312" w:cs="仿宋_GB2312"/>
          <w:color w:val="auto"/>
          <w:kern w:val="2"/>
          <w:sz w:val="32"/>
          <w:szCs w:val="32"/>
          <w:u w:val="none" w:color="auto"/>
          <w:lang w:val="en-US" w:eastAsia="zh-CN" w:bidi="ar-SA"/>
        </w:rPr>
        <w:t>一是党员情况核查，多渠道核实实情、完成分档建册与上报，保障动态跟进。二是流动党员管理，开展常态化摸排，做好接收与支部群管理，建立长效机制。三是组织关系转接，完善材料、协助转出、排查问题，保障高效有序</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2" w:firstLineChars="200"/>
        <w:jc w:val="left"/>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kern w:val="2"/>
          <w:sz w:val="32"/>
          <w:szCs w:val="32"/>
          <w:u w:val="none" w:color="auto"/>
          <w:lang w:val="en-US" w:eastAsia="zh-CN" w:bidi="ar-SA"/>
        </w:rPr>
        <w:t>3.扎实做好“两企三新”组织管理工作。</w:t>
      </w:r>
      <w:r>
        <w:rPr>
          <w:rFonts w:hint="eastAsia" w:ascii="仿宋_GB2312" w:hAnsi="仿宋_GB2312" w:eastAsia="仿宋_GB2312" w:cs="仿宋_GB2312"/>
          <w:color w:val="auto"/>
          <w:kern w:val="2"/>
          <w:sz w:val="32"/>
          <w:szCs w:val="32"/>
          <w:u w:val="none" w:color="auto"/>
          <w:lang w:val="en-US" w:eastAsia="zh-CN" w:bidi="ar-SA"/>
        </w:rPr>
        <w:t>一是明确组织生活形式，规范线上线下边界，排查整改问题，确保整改落地。二是制定组织生活事项分类标准，保障组织生活高效规范。三是社区党委丰富企业联合党支部活动形式，联动企业参与社区活动、融入社区党建服务资源推动支部生活多元规范。</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黑体" w:hAnsi="黑体" w:eastAsia="黑体" w:cs="黑体"/>
          <w:b w:val="0"/>
          <w:bCs/>
          <w:snapToGrid w:val="0"/>
          <w:color w:val="auto"/>
          <w:spacing w:val="0"/>
          <w:kern w:val="0"/>
          <w:sz w:val="32"/>
          <w:szCs w:val="32"/>
          <w:u w:val="none" w:color="auto"/>
          <w:lang w:eastAsia="zh-CN"/>
        </w:rPr>
      </w:pPr>
      <w:r>
        <w:rPr>
          <w:rFonts w:hint="eastAsia" w:ascii="黑体" w:hAnsi="黑体" w:eastAsia="黑体" w:cs="黑体"/>
          <w:b w:val="0"/>
          <w:bCs/>
          <w:snapToGrid w:val="0"/>
          <w:color w:val="auto"/>
          <w:spacing w:val="0"/>
          <w:kern w:val="0"/>
          <w:sz w:val="32"/>
          <w:szCs w:val="32"/>
          <w:u w:val="none" w:color="auto"/>
          <w:lang w:eastAsia="zh-CN"/>
        </w:rPr>
        <w:t>三、下一步工作打算</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snapToGrid w:val="0"/>
          <w:color w:val="auto"/>
          <w:spacing w:val="0"/>
          <w:kern w:val="0"/>
          <w:sz w:val="32"/>
          <w:szCs w:val="32"/>
          <w:u w:val="none" w:color="auto"/>
        </w:rPr>
      </w:pPr>
      <w:r>
        <w:rPr>
          <w:rFonts w:hint="eastAsia" w:ascii="楷体_GB2312" w:hAnsi="楷体_GB2312" w:eastAsia="楷体_GB2312" w:cs="楷体_GB2312"/>
          <w:color w:val="auto"/>
          <w:kern w:val="2"/>
          <w:sz w:val="32"/>
          <w:szCs w:val="32"/>
          <w:u w:val="none" w:color="auto"/>
          <w:lang w:val="en-US" w:eastAsia="zh-CN" w:bidi="ar-SA"/>
        </w:rPr>
        <w:t>（一）持续强化思想认识。</w:t>
      </w:r>
      <w:r>
        <w:rPr>
          <w:rFonts w:hint="eastAsia" w:ascii="仿宋_GB2312" w:hAnsi="仿宋_GB2312" w:eastAsia="仿宋_GB2312" w:cs="仿宋_GB2312"/>
          <w:b w:val="0"/>
          <w:bCs/>
          <w:snapToGrid w:val="0"/>
          <w:color w:val="auto"/>
          <w:spacing w:val="0"/>
          <w:kern w:val="0"/>
          <w:sz w:val="32"/>
          <w:szCs w:val="32"/>
          <w:u w:val="none" w:color="auto"/>
        </w:rPr>
        <w:t>深入学习相关精神，提高政治站位，将整改纳入社区重点工作，定期召开专题会议，引导工作人员主动整改，筑牢思想基础，确保整改方向不偏、力度不减。</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snapToGrid w:val="0"/>
          <w:color w:val="auto"/>
          <w:spacing w:val="0"/>
          <w:kern w:val="0"/>
          <w:sz w:val="32"/>
          <w:szCs w:val="32"/>
          <w:u w:val="none" w:color="auto"/>
        </w:rPr>
      </w:pPr>
      <w:r>
        <w:rPr>
          <w:rFonts w:hint="eastAsia" w:ascii="楷体_GB2312" w:hAnsi="楷体_GB2312" w:eastAsia="楷体_GB2312" w:cs="楷体_GB2312"/>
          <w:color w:val="auto"/>
          <w:kern w:val="2"/>
          <w:sz w:val="32"/>
          <w:szCs w:val="32"/>
          <w:u w:val="none" w:color="auto"/>
          <w:lang w:val="en-US" w:eastAsia="zh-CN" w:bidi="ar-SA"/>
        </w:rPr>
        <w:t>（二）持续聚焦重点问题。</w:t>
      </w:r>
      <w:r>
        <w:rPr>
          <w:rFonts w:hint="eastAsia" w:ascii="仿宋_GB2312" w:hAnsi="仿宋_GB2312" w:eastAsia="仿宋_GB2312" w:cs="仿宋_GB2312"/>
          <w:b w:val="0"/>
          <w:bCs/>
          <w:snapToGrid w:val="0"/>
          <w:color w:val="auto"/>
          <w:spacing w:val="0"/>
          <w:kern w:val="0"/>
          <w:sz w:val="32"/>
          <w:szCs w:val="32"/>
          <w:u w:val="none" w:color="auto"/>
        </w:rPr>
        <w:t>履行整改主体责任，对未完成整改和长期整改事项分类施策，健全联动机制，细化攻坚方案与时限，强化跟踪问效，建立长效机制，推动整改走深走实。</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（三）持续深化成果运用。</w:t>
      </w:r>
      <w:r>
        <w:rPr>
          <w:rFonts w:hint="eastAsia" w:ascii="仿宋_GB2312" w:hAnsi="仿宋_GB2312" w:eastAsia="仿宋_GB2312" w:cs="仿宋_GB2312"/>
          <w:b w:val="0"/>
          <w:bCs/>
          <w:snapToGrid w:val="0"/>
          <w:color w:val="auto"/>
          <w:spacing w:val="0"/>
          <w:kern w:val="0"/>
          <w:sz w:val="32"/>
          <w:szCs w:val="32"/>
          <w:u w:val="none" w:color="auto"/>
        </w:rPr>
        <w:t>以巡察整改为契机，复盘问题、完善制度，总结推广好经验形成工作规范，广泛征求居民意见，推动整改与治理衔接，实现以巡促改、以巡促建、以巡促治。</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2"/>
          <w:sz w:val="32"/>
          <w:szCs w:val="32"/>
          <w:u w:val="none" w:color="auto"/>
          <w:lang w:val="en-US" w:eastAsia="zh-CN" w:bidi="ar-SA"/>
        </w:rPr>
      </w:pP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 xml:space="preserve">               中共深圳市福田区福保街道明月社区委员会</w:t>
      </w:r>
    </w:p>
    <w:p>
      <w:pPr>
        <w:keepNext w:val="0"/>
        <w:keepLines w:val="0"/>
        <w:pageBreakBefore w:val="0"/>
        <w:kinsoku/>
        <w:wordWrap/>
        <w:overflowPunct/>
        <w:topLinePunct w:val="0"/>
        <w:autoSpaceDE/>
        <w:autoSpaceDN/>
        <w:bidi w:val="0"/>
        <w:spacing w:line="560" w:lineRule="exact"/>
        <w:jc w:val="left"/>
        <w:textAlignment w:val="auto"/>
      </w:pPr>
      <w:r>
        <w:rPr>
          <w:rFonts w:hint="eastAsia" w:ascii="仿宋_GB2312" w:hAnsi="仿宋_GB2312" w:eastAsia="仿宋_GB2312" w:cs="仿宋_GB2312"/>
          <w:color w:val="auto"/>
          <w:kern w:val="2"/>
          <w:sz w:val="32"/>
          <w:szCs w:val="32"/>
          <w:u w:val="none" w:color="auto"/>
          <w:lang w:val="en-US" w:eastAsia="zh-CN" w:bidi="ar-SA"/>
        </w:rPr>
        <w:t xml:space="preserve">                               2026年4月13日</w:t>
      </w:r>
      <w:bookmarkStart w:id="1" w:name="_GoBack"/>
      <w:bookmarkEnd w:id="1"/>
    </w:p>
    <w:sectPr>
      <w:headerReference r:id="rId3" w:type="default"/>
      <w:footerReference r:id="rId4" w:type="default"/>
      <w:pgSz w:w="11906" w:h="16838"/>
      <w:pgMar w:top="1361" w:right="1361" w:bottom="1361" w:left="136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B7D6A"/>
    <w:rsid w:val="05F12BF0"/>
    <w:rsid w:val="1C332D7F"/>
    <w:rsid w:val="279938C3"/>
    <w:rsid w:val="359F3537"/>
    <w:rsid w:val="377A5484"/>
    <w:rsid w:val="40A37E47"/>
    <w:rsid w:val="4800602C"/>
    <w:rsid w:val="4F560168"/>
    <w:rsid w:val="548B7D6A"/>
    <w:rsid w:val="5F001C83"/>
    <w:rsid w:val="71255876"/>
    <w:rsid w:val="7BC71395"/>
    <w:rsid w:val="DBFAF52D"/>
    <w:rsid w:val="F9F61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4"/>
    <w:unhideWhenUsed/>
    <w:qFormat/>
    <w:uiPriority w:val="99"/>
    <w:pPr>
      <w:spacing w:after="120"/>
    </w:p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3288</Words>
  <Characters>3318</Characters>
  <Lines>0</Lines>
  <Paragraphs>0</Paragraphs>
  <TotalTime>429</TotalTime>
  <ScaleCrop>false</ScaleCrop>
  <LinksUpToDate>false</LinksUpToDate>
  <CharactersWithSpaces>3394</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2026-04-11T02:17:00Z</dcterms:created>
  <dc:creator>Administrator</dc:creator>
  <cp:lastModifiedBy>PC</cp:lastModifiedBy>
  <dcterms:modified xsi:type="dcterms:W3CDTF">2026-04-29T16:19:28Z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33670C2EB01E01B010BFF1699F80C2B7</vt:lpwstr>
  </property>
  <property fmtid="{D5CDD505-2E9C-101B-9397-08002B2CF9AE}" pid="4" name="KSOTemplateDocerSaveRecord">
    <vt:lpwstr>eyJoZGlkIjoiMzQzMWY1ODQ3YmE3ZDdhZjI0OWE4M2Y0YjQ2N2QzZTYiLCJ1c2VySWQiOiIzODc5NzE2MzYifQ==</vt:lpwstr>
  </property>
</Properties>
</file>