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20"/>
          <w:sz w:val="44"/>
          <w:szCs w:val="44"/>
          <w:highlight w:val="none"/>
          <w:u w:val="none" w:color="auto"/>
          <w:lang w:val="en-US" w:eastAsia="zh-CN"/>
        </w:rPr>
      </w:pPr>
      <w:r>
        <w:rPr>
          <w:rFonts w:hint="eastAsia" w:ascii="方正小标宋简体" w:hAnsi="方正小标宋简体" w:eastAsia="方正小标宋简体" w:cs="方正小标宋简体"/>
          <w:color w:val="auto"/>
          <w:spacing w:val="-20"/>
          <w:sz w:val="44"/>
          <w:szCs w:val="44"/>
          <w:highlight w:val="none"/>
          <w:u w:val="none" w:color="auto"/>
        </w:rPr>
        <w:t>中共</w:t>
      </w:r>
      <w:r>
        <w:rPr>
          <w:rFonts w:hint="eastAsia" w:ascii="方正小标宋简体" w:hAnsi="方正小标宋简体" w:eastAsia="方正小标宋简体" w:cs="方正小标宋简体"/>
          <w:color w:val="auto"/>
          <w:spacing w:val="-20"/>
          <w:sz w:val="44"/>
          <w:szCs w:val="44"/>
          <w:highlight w:val="none"/>
          <w:u w:val="none" w:color="auto"/>
          <w:lang w:val="en-US" w:eastAsia="zh-CN"/>
        </w:rPr>
        <w:t>深圳市福田区福保街道工作委员会</w:t>
      </w: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color w:val="auto"/>
          <w:spacing w:val="-20"/>
          <w:sz w:val="44"/>
          <w:szCs w:val="44"/>
          <w:highlight w:val="none"/>
          <w:u w:val="none" w:color="auto"/>
          <w:lang w:val="en-US" w:eastAsia="zh-CN"/>
        </w:rPr>
      </w:pPr>
      <w:r>
        <w:rPr>
          <w:rFonts w:hint="eastAsia" w:ascii="方正小标宋简体" w:hAnsi="方正小标宋简体" w:eastAsia="方正小标宋简体" w:cs="方正小标宋简体"/>
          <w:color w:val="auto"/>
          <w:spacing w:val="-20"/>
          <w:sz w:val="44"/>
          <w:szCs w:val="44"/>
          <w:highlight w:val="none"/>
          <w:u w:val="none" w:color="auto"/>
        </w:rPr>
        <w:t>关于巡察整改进展情况的</w:t>
      </w:r>
      <w:r>
        <w:rPr>
          <w:rFonts w:hint="eastAsia" w:ascii="方正小标宋简体" w:hAnsi="方正小标宋简体" w:eastAsia="方正小标宋简体" w:cs="方正小标宋简体"/>
          <w:color w:val="auto"/>
          <w:spacing w:val="-20"/>
          <w:sz w:val="44"/>
          <w:szCs w:val="44"/>
          <w:highlight w:val="none"/>
          <w:u w:val="none" w:color="auto"/>
          <w:lang w:val="en-US" w:eastAsia="zh-CN"/>
        </w:rPr>
        <w:t>通报</w:t>
      </w:r>
    </w:p>
    <w:p>
      <w:pPr>
        <w:pStyle w:val="6"/>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sz w:val="32"/>
          <w:szCs w:val="32"/>
          <w:u w:val="none" w:color="auto"/>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color="auto"/>
        </w:rPr>
      </w:pPr>
      <w:bookmarkStart w:id="0" w:name="OLE_LINK2"/>
      <w:r>
        <w:rPr>
          <w:rFonts w:hint="eastAsia" w:ascii="仿宋_GB2312" w:hAnsi="仿宋_GB2312" w:eastAsia="仿宋_GB2312" w:cs="仿宋_GB2312"/>
          <w:color w:val="auto"/>
          <w:spacing w:val="0"/>
          <w:sz w:val="32"/>
          <w:szCs w:val="32"/>
          <w:u w:val="none" w:color="auto"/>
        </w:rPr>
        <w:t>根据</w:t>
      </w:r>
      <w:r>
        <w:rPr>
          <w:rFonts w:hint="eastAsia" w:ascii="仿宋_GB2312" w:hAnsi="仿宋_GB2312" w:eastAsia="仿宋_GB2312" w:cs="仿宋_GB2312"/>
          <w:color w:val="auto"/>
          <w:spacing w:val="0"/>
          <w:sz w:val="32"/>
          <w:szCs w:val="32"/>
          <w:u w:val="none" w:color="auto"/>
          <w:lang w:val="en-US" w:eastAsia="zh-CN"/>
        </w:rPr>
        <w:t>区</w:t>
      </w:r>
      <w:r>
        <w:rPr>
          <w:rFonts w:hint="eastAsia" w:ascii="仿宋_GB2312" w:hAnsi="仿宋_GB2312" w:eastAsia="仿宋_GB2312" w:cs="仿宋_GB2312"/>
          <w:color w:val="auto"/>
          <w:spacing w:val="0"/>
          <w:sz w:val="32"/>
          <w:szCs w:val="32"/>
          <w:highlight w:val="none"/>
          <w:u w:val="none" w:color="auto"/>
        </w:rPr>
        <w:t>委统一部署，</w:t>
      </w:r>
      <w:r>
        <w:rPr>
          <w:rFonts w:hint="eastAsia" w:ascii="仿宋_GB2312" w:hAnsi="仿宋_GB2312" w:eastAsia="仿宋_GB2312" w:cs="仿宋_GB2312"/>
          <w:b w:val="0"/>
          <w:i w:val="0"/>
          <w:color w:val="auto"/>
          <w:spacing w:val="0"/>
          <w:sz w:val="32"/>
          <w:szCs w:val="32"/>
          <w:highlight w:val="none"/>
          <w:u w:val="none" w:color="auto"/>
          <w:lang w:val="en-US" w:eastAsia="zh-CN"/>
        </w:rPr>
        <w:t>2025</w:t>
      </w:r>
      <w:r>
        <w:rPr>
          <w:rFonts w:hint="eastAsia" w:ascii="仿宋_GB2312" w:hAnsi="仿宋_GB2312" w:eastAsia="仿宋_GB2312" w:cs="仿宋_GB2312"/>
          <w:color w:val="auto"/>
          <w:spacing w:val="0"/>
          <w:sz w:val="32"/>
          <w:szCs w:val="32"/>
          <w:highlight w:val="none"/>
          <w:u w:val="none" w:color="auto"/>
        </w:rPr>
        <w:t>年</w:t>
      </w:r>
      <w:r>
        <w:rPr>
          <w:rFonts w:hint="eastAsia" w:ascii="仿宋_GB2312" w:hAnsi="仿宋_GB2312" w:eastAsia="仿宋_GB2312" w:cs="仿宋_GB2312"/>
          <w:b w:val="0"/>
          <w:i w:val="0"/>
          <w:color w:val="auto"/>
          <w:spacing w:val="0"/>
          <w:sz w:val="32"/>
          <w:szCs w:val="32"/>
          <w:highlight w:val="none"/>
          <w:u w:val="none" w:color="auto"/>
          <w:lang w:val="en-US" w:eastAsia="zh-CN"/>
        </w:rPr>
        <w:t>3</w:t>
      </w:r>
      <w:r>
        <w:rPr>
          <w:rFonts w:hint="eastAsia" w:ascii="仿宋_GB2312" w:hAnsi="仿宋_GB2312" w:eastAsia="仿宋_GB2312" w:cs="仿宋_GB2312"/>
          <w:color w:val="auto"/>
          <w:spacing w:val="0"/>
          <w:sz w:val="32"/>
          <w:szCs w:val="32"/>
          <w:highlight w:val="none"/>
          <w:u w:val="none" w:color="auto"/>
        </w:rPr>
        <w:t>月至</w:t>
      </w:r>
      <w:r>
        <w:rPr>
          <w:rFonts w:hint="eastAsia" w:ascii="仿宋_GB2312" w:hAnsi="仿宋_GB2312" w:eastAsia="仿宋_GB2312" w:cs="仿宋_GB2312"/>
          <w:b w:val="0"/>
          <w:i w:val="0"/>
          <w:color w:val="auto"/>
          <w:spacing w:val="0"/>
          <w:sz w:val="32"/>
          <w:szCs w:val="32"/>
          <w:highlight w:val="none"/>
          <w:u w:val="none" w:color="auto"/>
          <w:lang w:val="en-US" w:eastAsia="zh-CN"/>
        </w:rPr>
        <w:t>6</w:t>
      </w:r>
      <w:r>
        <w:rPr>
          <w:rFonts w:hint="eastAsia" w:ascii="仿宋_GB2312" w:hAnsi="仿宋_GB2312" w:eastAsia="仿宋_GB2312" w:cs="仿宋_GB2312"/>
          <w:color w:val="auto"/>
          <w:spacing w:val="0"/>
          <w:sz w:val="32"/>
          <w:szCs w:val="32"/>
          <w:highlight w:val="none"/>
          <w:u w:val="none" w:color="auto"/>
        </w:rPr>
        <w:t>月</w:t>
      </w:r>
      <w:r>
        <w:rPr>
          <w:rFonts w:hint="eastAsia" w:ascii="仿宋_GB2312" w:hAnsi="仿宋_GB2312" w:eastAsia="仿宋_GB2312" w:cs="仿宋_GB2312"/>
          <w:color w:val="auto"/>
          <w:spacing w:val="0"/>
          <w:sz w:val="32"/>
          <w:szCs w:val="32"/>
          <w:highlight w:val="none"/>
          <w:u w:val="none" w:color="auto"/>
          <w:lang w:eastAsia="zh-CN"/>
        </w:rPr>
        <w:t>，</w:t>
      </w:r>
      <w:r>
        <w:rPr>
          <w:rFonts w:hint="eastAsia" w:ascii="仿宋_GB2312" w:hAnsi="仿宋_GB2312" w:eastAsia="仿宋_GB2312" w:cs="仿宋_GB2312"/>
          <w:color w:val="auto"/>
          <w:spacing w:val="0"/>
          <w:sz w:val="32"/>
          <w:szCs w:val="32"/>
          <w:highlight w:val="none"/>
          <w:u w:val="none" w:color="auto"/>
          <w:lang w:val="en-US" w:eastAsia="zh-CN"/>
        </w:rPr>
        <w:t>区</w:t>
      </w:r>
      <w:r>
        <w:rPr>
          <w:rFonts w:hint="eastAsia" w:ascii="仿宋_GB2312" w:hAnsi="仿宋_GB2312" w:eastAsia="仿宋_GB2312" w:cs="仿宋_GB2312"/>
          <w:color w:val="auto"/>
          <w:spacing w:val="0"/>
          <w:sz w:val="32"/>
          <w:szCs w:val="32"/>
          <w:highlight w:val="none"/>
          <w:u w:val="none" w:color="auto"/>
        </w:rPr>
        <w:t>委第</w:t>
      </w:r>
      <w:r>
        <w:rPr>
          <w:rFonts w:hint="eastAsia" w:ascii="仿宋_GB2312" w:hAnsi="仿宋_GB2312" w:eastAsia="仿宋_GB2312" w:cs="仿宋_GB2312"/>
          <w:color w:val="auto"/>
          <w:spacing w:val="0"/>
          <w:sz w:val="32"/>
          <w:szCs w:val="32"/>
          <w:highlight w:val="none"/>
          <w:u w:val="none" w:color="auto"/>
          <w:lang w:val="en-US" w:eastAsia="zh-CN"/>
        </w:rPr>
        <w:t>四</w:t>
      </w:r>
      <w:r>
        <w:rPr>
          <w:rFonts w:hint="eastAsia" w:ascii="仿宋_GB2312" w:hAnsi="仿宋_GB2312" w:eastAsia="仿宋_GB2312" w:cs="仿宋_GB2312"/>
          <w:color w:val="auto"/>
          <w:spacing w:val="0"/>
          <w:sz w:val="32"/>
          <w:szCs w:val="32"/>
          <w:highlight w:val="none"/>
          <w:u w:val="none" w:color="auto"/>
        </w:rPr>
        <w:t>巡察组对</w:t>
      </w:r>
      <w:r>
        <w:rPr>
          <w:rFonts w:hint="eastAsia" w:ascii="仿宋_GB2312" w:hAnsi="仿宋_GB2312" w:eastAsia="仿宋_GB2312" w:cs="仿宋_GB2312"/>
          <w:color w:val="auto"/>
          <w:spacing w:val="0"/>
          <w:sz w:val="32"/>
          <w:szCs w:val="32"/>
          <w:highlight w:val="none"/>
          <w:u w:val="none" w:color="auto"/>
          <w:lang w:val="en-US" w:eastAsia="zh-CN"/>
        </w:rPr>
        <w:t>福保街道党工委</w:t>
      </w:r>
      <w:r>
        <w:rPr>
          <w:rFonts w:hint="eastAsia" w:ascii="仿宋_GB2312" w:hAnsi="仿宋_GB2312" w:eastAsia="仿宋_GB2312" w:cs="仿宋_GB2312"/>
          <w:color w:val="auto"/>
          <w:spacing w:val="0"/>
          <w:sz w:val="32"/>
          <w:szCs w:val="32"/>
          <w:highlight w:val="none"/>
          <w:u w:val="none" w:color="auto"/>
        </w:rPr>
        <w:t>进行了巡察。</w:t>
      </w:r>
      <w:r>
        <w:rPr>
          <w:rFonts w:hint="eastAsia" w:ascii="仿宋_GB2312" w:hAnsi="仿宋_GB2312" w:eastAsia="仿宋_GB2312" w:cs="仿宋_GB2312"/>
          <w:b w:val="0"/>
          <w:i w:val="0"/>
          <w:color w:val="auto"/>
          <w:spacing w:val="0"/>
          <w:sz w:val="32"/>
          <w:szCs w:val="32"/>
          <w:highlight w:val="none"/>
          <w:u w:val="none" w:color="auto"/>
          <w:lang w:val="en-US" w:eastAsia="zh-CN"/>
        </w:rPr>
        <w:t>7</w:t>
      </w:r>
      <w:r>
        <w:rPr>
          <w:rFonts w:hint="eastAsia" w:ascii="仿宋_GB2312" w:hAnsi="仿宋_GB2312" w:eastAsia="仿宋_GB2312" w:cs="仿宋_GB2312"/>
          <w:color w:val="auto"/>
          <w:spacing w:val="0"/>
          <w:sz w:val="32"/>
          <w:szCs w:val="32"/>
          <w:highlight w:val="none"/>
          <w:u w:val="none" w:color="auto"/>
        </w:rPr>
        <w:t>月</w:t>
      </w:r>
      <w:r>
        <w:rPr>
          <w:rFonts w:hint="eastAsia" w:ascii="仿宋_GB2312" w:hAnsi="仿宋_GB2312" w:eastAsia="仿宋_GB2312" w:cs="仿宋_GB2312"/>
          <w:b w:val="0"/>
          <w:i w:val="0"/>
          <w:color w:val="auto"/>
          <w:spacing w:val="0"/>
          <w:sz w:val="32"/>
          <w:szCs w:val="32"/>
          <w:highlight w:val="none"/>
          <w:u w:val="none" w:color="auto"/>
          <w:lang w:val="en-US" w:eastAsia="zh-CN"/>
        </w:rPr>
        <w:t>30</w:t>
      </w:r>
      <w:r>
        <w:rPr>
          <w:rFonts w:hint="eastAsia" w:ascii="仿宋_GB2312" w:hAnsi="仿宋_GB2312" w:eastAsia="仿宋_GB2312" w:cs="仿宋_GB2312"/>
          <w:color w:val="auto"/>
          <w:spacing w:val="0"/>
          <w:sz w:val="32"/>
          <w:szCs w:val="32"/>
          <w:highlight w:val="none"/>
          <w:u w:val="none" w:color="auto"/>
        </w:rPr>
        <w:t>日，</w:t>
      </w:r>
      <w:r>
        <w:rPr>
          <w:rFonts w:hint="eastAsia" w:ascii="仿宋_GB2312" w:hAnsi="仿宋_GB2312" w:eastAsia="仿宋_GB2312" w:cs="仿宋_GB2312"/>
          <w:color w:val="auto"/>
          <w:spacing w:val="0"/>
          <w:sz w:val="32"/>
          <w:szCs w:val="32"/>
          <w:highlight w:val="none"/>
          <w:u w:val="none" w:color="auto"/>
          <w:lang w:val="en-US" w:eastAsia="zh-CN"/>
        </w:rPr>
        <w:t>区</w:t>
      </w:r>
      <w:r>
        <w:rPr>
          <w:rFonts w:hint="eastAsia" w:ascii="仿宋_GB2312" w:hAnsi="仿宋_GB2312" w:eastAsia="仿宋_GB2312" w:cs="仿宋_GB2312"/>
          <w:color w:val="auto"/>
          <w:spacing w:val="0"/>
          <w:sz w:val="32"/>
          <w:szCs w:val="32"/>
          <w:highlight w:val="none"/>
          <w:u w:val="none" w:color="auto"/>
        </w:rPr>
        <w:t>委第</w:t>
      </w:r>
      <w:r>
        <w:rPr>
          <w:rFonts w:hint="eastAsia" w:ascii="仿宋_GB2312" w:hAnsi="仿宋_GB2312" w:eastAsia="仿宋_GB2312" w:cs="仿宋_GB2312"/>
          <w:color w:val="auto"/>
          <w:spacing w:val="0"/>
          <w:sz w:val="32"/>
          <w:szCs w:val="32"/>
          <w:highlight w:val="none"/>
          <w:u w:val="none" w:color="auto"/>
          <w:lang w:val="en-US" w:eastAsia="zh-CN"/>
        </w:rPr>
        <w:t>四</w:t>
      </w:r>
      <w:r>
        <w:rPr>
          <w:rFonts w:hint="eastAsia" w:ascii="仿宋_GB2312" w:hAnsi="仿宋_GB2312" w:eastAsia="仿宋_GB2312" w:cs="仿宋_GB2312"/>
          <w:color w:val="auto"/>
          <w:spacing w:val="0"/>
          <w:sz w:val="32"/>
          <w:szCs w:val="32"/>
          <w:highlight w:val="none"/>
          <w:u w:val="none" w:color="auto"/>
        </w:rPr>
        <w:t>巡察组向</w:t>
      </w:r>
      <w:r>
        <w:rPr>
          <w:rFonts w:hint="eastAsia" w:ascii="仿宋_GB2312" w:hAnsi="仿宋_GB2312" w:eastAsia="仿宋_GB2312" w:cs="仿宋_GB2312"/>
          <w:color w:val="auto"/>
          <w:spacing w:val="0"/>
          <w:sz w:val="32"/>
          <w:szCs w:val="32"/>
          <w:highlight w:val="none"/>
          <w:u w:val="none" w:color="auto"/>
          <w:lang w:val="en-US" w:eastAsia="zh-CN"/>
        </w:rPr>
        <w:t>福保街道党工委</w:t>
      </w:r>
      <w:r>
        <w:rPr>
          <w:rFonts w:hint="eastAsia" w:ascii="仿宋_GB2312" w:hAnsi="仿宋_GB2312" w:eastAsia="仿宋_GB2312" w:cs="仿宋_GB2312"/>
          <w:color w:val="auto"/>
          <w:spacing w:val="0"/>
          <w:sz w:val="32"/>
          <w:szCs w:val="32"/>
          <w:highlight w:val="none"/>
          <w:u w:val="none" w:color="auto"/>
        </w:rPr>
        <w:t>反馈了巡察意见。按照巡察工作有关要求，现将巡察整改进展情况报告如下。</w:t>
      </w: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630" w:leftChars="0"/>
        <w:textAlignment w:val="auto"/>
        <w:rPr>
          <w:rFonts w:hint="eastAsia" w:ascii="黑体" w:hAnsi="黑体" w:eastAsia="黑体" w:cs="黑体"/>
          <w:i w:val="0"/>
          <w:iCs w:val="0"/>
          <w:caps w:val="0"/>
          <w:color w:val="0F1115"/>
          <w:spacing w:val="0"/>
          <w:sz w:val="32"/>
          <w:szCs w:val="32"/>
        </w:rPr>
      </w:pPr>
      <w:r>
        <w:rPr>
          <w:rFonts w:hint="eastAsia" w:ascii="黑体" w:hAnsi="黑体" w:eastAsia="黑体" w:cs="黑体"/>
          <w:color w:val="auto"/>
          <w:spacing w:val="0"/>
          <w:sz w:val="32"/>
          <w:szCs w:val="32"/>
          <w:highlight w:val="none"/>
          <w:u w:val="none" w:color="auto"/>
          <w:lang w:eastAsia="zh-CN"/>
        </w:rPr>
        <w:t>党</w:t>
      </w:r>
      <w:r>
        <w:rPr>
          <w:rFonts w:hint="eastAsia" w:ascii="黑体" w:hAnsi="黑体" w:eastAsia="黑体" w:cs="黑体"/>
          <w:color w:val="auto"/>
          <w:spacing w:val="0"/>
          <w:sz w:val="32"/>
          <w:szCs w:val="32"/>
          <w:highlight w:val="none"/>
          <w:u w:val="none" w:color="auto"/>
          <w:lang w:val="en-US" w:eastAsia="zh-CN"/>
        </w:rPr>
        <w:t>组织履行巡察整改主体责任情况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pacing w:val="0"/>
          <w:sz w:val="32"/>
          <w:szCs w:val="32"/>
          <w:u w:val="none" w:color="auto"/>
        </w:rPr>
      </w:pPr>
      <w:r>
        <w:rPr>
          <w:rStyle w:val="19"/>
          <w:rFonts w:hint="eastAsia" w:ascii="楷体_GB2312" w:hAnsi="楷体_GB2312" w:eastAsia="楷体_GB2312" w:cs="楷体_GB2312"/>
          <w:b w:val="0"/>
          <w:bCs w:val="0"/>
          <w:i w:val="0"/>
          <w:iCs w:val="0"/>
          <w:caps w:val="0"/>
          <w:color w:val="0F1115"/>
          <w:spacing w:val="0"/>
          <w:sz w:val="32"/>
          <w:szCs w:val="32"/>
          <w:shd w:val="clear" w:fill="FFFFFF"/>
        </w:rPr>
        <w:t>（一）提高政治站位，深化思想认识。</w:t>
      </w:r>
      <w:r>
        <w:rPr>
          <w:rFonts w:hint="eastAsia" w:ascii="仿宋_GB2312" w:hAnsi="仿宋_GB2312" w:eastAsia="仿宋_GB2312" w:cs="仿宋_GB2312"/>
          <w:color w:val="auto"/>
          <w:spacing w:val="0"/>
          <w:sz w:val="32"/>
          <w:szCs w:val="32"/>
          <w:u w:val="none" w:color="auto"/>
          <w:lang w:val="en-US" w:eastAsia="zh-CN"/>
        </w:rPr>
        <w:t>街道党工委</w:t>
      </w:r>
      <w:r>
        <w:rPr>
          <w:rFonts w:hint="eastAsia" w:ascii="仿宋_GB2312" w:hAnsi="仿宋_GB2312" w:eastAsia="仿宋_GB2312" w:cs="仿宋_GB2312"/>
          <w:color w:val="auto"/>
          <w:spacing w:val="0"/>
          <w:sz w:val="32"/>
          <w:szCs w:val="32"/>
          <w:u w:val="none" w:color="auto"/>
        </w:rPr>
        <w:t>旗帜鲜明讲政治，切实把“两个维护”体现在扎实推动</w:t>
      </w:r>
      <w:r>
        <w:rPr>
          <w:rFonts w:hint="eastAsia" w:ascii="仿宋_GB2312" w:hAnsi="仿宋_GB2312" w:eastAsia="仿宋_GB2312" w:cs="仿宋_GB2312"/>
          <w:color w:val="auto"/>
          <w:spacing w:val="0"/>
          <w:sz w:val="32"/>
          <w:szCs w:val="32"/>
          <w:u w:val="none" w:color="auto"/>
          <w:lang w:val="en-US" w:eastAsia="zh-CN"/>
        </w:rPr>
        <w:t>巡察</w:t>
      </w:r>
      <w:r>
        <w:rPr>
          <w:rFonts w:hint="eastAsia" w:ascii="仿宋_GB2312" w:hAnsi="仿宋_GB2312" w:eastAsia="仿宋_GB2312" w:cs="仿宋_GB2312"/>
          <w:color w:val="auto"/>
          <w:spacing w:val="0"/>
          <w:sz w:val="32"/>
          <w:szCs w:val="32"/>
          <w:u w:val="none" w:color="auto"/>
        </w:rPr>
        <w:t>整改行动上。第一时间传达学习习近平总书记关于巡视工作重要论述</w:t>
      </w:r>
      <w:r>
        <w:rPr>
          <w:rFonts w:hint="eastAsia" w:ascii="仿宋_GB2312" w:hAnsi="仿宋_GB2312" w:eastAsia="仿宋_GB2312" w:cs="仿宋_GB2312"/>
          <w:color w:val="auto"/>
          <w:spacing w:val="0"/>
          <w:sz w:val="32"/>
          <w:szCs w:val="32"/>
          <w:u w:val="none" w:color="auto"/>
          <w:lang w:eastAsia="zh-CN"/>
        </w:rPr>
        <w:t>，</w:t>
      </w:r>
      <w:r>
        <w:rPr>
          <w:rFonts w:hint="eastAsia" w:ascii="仿宋_GB2312" w:hAnsi="仿宋_GB2312" w:eastAsia="仿宋_GB2312" w:cs="仿宋_GB2312"/>
          <w:color w:val="auto"/>
          <w:spacing w:val="0"/>
          <w:sz w:val="32"/>
          <w:szCs w:val="32"/>
          <w:u w:val="none" w:color="auto"/>
        </w:rPr>
        <w:t>从政治高度领会整改要求，切实增强思想自觉和行动自觉。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color="auto"/>
          <w:lang w:val="en-US" w:eastAsia="zh-CN"/>
        </w:rPr>
      </w:pPr>
      <w:r>
        <w:rPr>
          <w:rStyle w:val="19"/>
          <w:rFonts w:hint="eastAsia" w:ascii="楷体_GB2312" w:hAnsi="楷体_GB2312" w:eastAsia="楷体_GB2312" w:cs="楷体_GB2312"/>
          <w:b w:val="0"/>
          <w:bCs w:val="0"/>
          <w:i w:val="0"/>
          <w:iCs w:val="0"/>
          <w:caps w:val="0"/>
          <w:color w:val="0F1115"/>
          <w:spacing w:val="0"/>
          <w:sz w:val="32"/>
          <w:szCs w:val="32"/>
          <w:shd w:val="clear" w:fill="FFFFFF"/>
          <w:lang w:eastAsia="zh-CN"/>
        </w:rPr>
        <w:t>（</w:t>
      </w:r>
      <w:r>
        <w:rPr>
          <w:rStyle w:val="19"/>
          <w:rFonts w:hint="eastAsia" w:ascii="楷体_GB2312" w:hAnsi="楷体_GB2312" w:eastAsia="楷体_GB2312" w:cs="楷体_GB2312"/>
          <w:b w:val="0"/>
          <w:bCs w:val="0"/>
          <w:i w:val="0"/>
          <w:iCs w:val="0"/>
          <w:caps w:val="0"/>
          <w:color w:val="0F1115"/>
          <w:spacing w:val="0"/>
          <w:sz w:val="32"/>
          <w:szCs w:val="32"/>
          <w:shd w:val="clear" w:fill="FFFFFF"/>
          <w:lang w:val="en-US" w:eastAsia="zh-CN"/>
        </w:rPr>
        <w:t>二</w:t>
      </w:r>
      <w:r>
        <w:rPr>
          <w:rStyle w:val="19"/>
          <w:rFonts w:hint="eastAsia" w:ascii="楷体_GB2312" w:hAnsi="楷体_GB2312" w:eastAsia="楷体_GB2312" w:cs="楷体_GB2312"/>
          <w:b w:val="0"/>
          <w:bCs w:val="0"/>
          <w:i w:val="0"/>
          <w:iCs w:val="0"/>
          <w:caps w:val="0"/>
          <w:color w:val="0F1115"/>
          <w:spacing w:val="0"/>
          <w:sz w:val="32"/>
          <w:szCs w:val="32"/>
          <w:shd w:val="clear" w:fill="FFFFFF"/>
          <w:lang w:eastAsia="zh-CN"/>
        </w:rPr>
        <w:t>）</w:t>
      </w:r>
      <w:r>
        <w:rPr>
          <w:rStyle w:val="19"/>
          <w:rFonts w:hint="eastAsia" w:ascii="楷体_GB2312" w:hAnsi="楷体_GB2312" w:eastAsia="楷体_GB2312" w:cs="楷体_GB2312"/>
          <w:b w:val="0"/>
          <w:bCs w:val="0"/>
          <w:i w:val="0"/>
          <w:iCs w:val="0"/>
          <w:caps w:val="0"/>
          <w:color w:val="0F1115"/>
          <w:spacing w:val="0"/>
          <w:sz w:val="32"/>
          <w:szCs w:val="32"/>
          <w:shd w:val="clear" w:fill="FFFFFF"/>
        </w:rPr>
        <w:t>加强组织领导，压紧压实责任。</w:t>
      </w:r>
      <w:r>
        <w:rPr>
          <w:rFonts w:hint="eastAsia" w:ascii="仿宋_GB2312" w:hAnsi="仿宋_GB2312" w:eastAsia="仿宋_GB2312" w:cs="仿宋_GB2312"/>
          <w:color w:val="auto"/>
          <w:spacing w:val="0"/>
          <w:sz w:val="32"/>
          <w:szCs w:val="32"/>
          <w:highlight w:val="none"/>
          <w:u w:val="none" w:color="auto"/>
          <w:lang w:val="en-US" w:eastAsia="zh-CN"/>
        </w:rPr>
        <w:t>成立由党工委书记任组长的整改工作领导小组，逐项剖析问题、逐条研究措施；召开巡察整改专题民主生活会，班子成员深入对照检查，开展批评与自我批评，压实责任。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rPr>
      </w:pPr>
      <w:r>
        <w:rPr>
          <w:rStyle w:val="19"/>
          <w:rFonts w:hint="eastAsia" w:ascii="楷体_GB2312" w:hAnsi="楷体_GB2312" w:eastAsia="楷体_GB2312" w:cs="楷体_GB2312"/>
          <w:b w:val="0"/>
          <w:bCs w:val="0"/>
          <w:i w:val="0"/>
          <w:iCs w:val="0"/>
          <w:caps w:val="0"/>
          <w:color w:val="0F1115"/>
          <w:spacing w:val="0"/>
          <w:sz w:val="32"/>
          <w:szCs w:val="32"/>
          <w:shd w:val="clear" w:fill="FFFFFF"/>
        </w:rPr>
        <w:t>（三）健全工作机制，深化成果运用。</w:t>
      </w:r>
      <w:r>
        <w:rPr>
          <w:rFonts w:hint="eastAsia" w:ascii="仿宋_GB2312" w:hAnsi="仿宋_GB2312" w:eastAsia="仿宋_GB2312" w:cs="仿宋_GB2312"/>
          <w:i w:val="0"/>
          <w:iCs w:val="0"/>
          <w:caps w:val="0"/>
          <w:color w:val="0F1115"/>
          <w:spacing w:val="0"/>
          <w:sz w:val="32"/>
          <w:szCs w:val="32"/>
          <w:shd w:val="clear" w:fill="FFFFFF"/>
        </w:rPr>
        <w:t>构建“</w:t>
      </w:r>
      <w:r>
        <w:rPr>
          <w:rFonts w:hint="eastAsia" w:ascii="仿宋_GB2312" w:hAnsi="仿宋_GB2312" w:eastAsia="仿宋_GB2312" w:cs="仿宋_GB2312"/>
          <w:i w:val="0"/>
          <w:iCs w:val="0"/>
          <w:caps w:val="0"/>
          <w:color w:val="0F1115"/>
          <w:spacing w:val="0"/>
          <w:sz w:val="32"/>
          <w:szCs w:val="32"/>
          <w:shd w:val="clear" w:fill="FFFFFF"/>
          <w:lang w:val="en-US" w:eastAsia="zh-CN"/>
        </w:rPr>
        <w:t>党工委</w:t>
      </w:r>
      <w:r>
        <w:rPr>
          <w:rFonts w:hint="eastAsia" w:ascii="仿宋_GB2312" w:hAnsi="仿宋_GB2312" w:eastAsia="仿宋_GB2312" w:cs="仿宋_GB2312"/>
          <w:i w:val="0"/>
          <w:iCs w:val="0"/>
          <w:caps w:val="0"/>
          <w:color w:val="0F1115"/>
          <w:spacing w:val="0"/>
          <w:sz w:val="32"/>
          <w:szCs w:val="32"/>
          <w:shd w:val="clear" w:fill="FFFFFF"/>
        </w:rPr>
        <w:t>书记负总责、分管领导具体抓、责任科办抓落实”工作格局，对重点问题实行清单化管理、闭环式推进，及时跟进进展、举一反三，推动整改成果转化为改进作风、完善制度、提升治理效能的实际成效。</w:t>
      </w:r>
    </w:p>
    <w:bookmarkEnd w:id="0"/>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pacing w:val="0"/>
          <w:sz w:val="32"/>
          <w:szCs w:val="32"/>
          <w:highlight w:val="none"/>
          <w:u w:val="none" w:color="auto"/>
          <w:lang w:eastAsia="zh-CN"/>
        </w:rPr>
      </w:pPr>
      <w:r>
        <w:rPr>
          <w:rFonts w:hint="eastAsia" w:ascii="黑体" w:hAnsi="黑体" w:eastAsia="黑体" w:cs="黑体"/>
          <w:color w:val="auto"/>
          <w:spacing w:val="0"/>
          <w:sz w:val="32"/>
          <w:szCs w:val="32"/>
          <w:highlight w:val="none"/>
          <w:u w:val="none" w:color="auto"/>
          <w:lang w:val="en-US" w:eastAsia="zh-CN"/>
        </w:rPr>
        <w:t>二、巡察</w:t>
      </w:r>
      <w:r>
        <w:rPr>
          <w:rFonts w:hint="eastAsia" w:ascii="黑体" w:hAnsi="黑体" w:eastAsia="黑体" w:cs="黑体"/>
          <w:color w:val="auto"/>
          <w:spacing w:val="0"/>
          <w:sz w:val="32"/>
          <w:szCs w:val="32"/>
          <w:highlight w:val="none"/>
          <w:u w:val="none" w:color="auto"/>
          <w:lang w:eastAsia="zh-CN"/>
        </w:rPr>
        <w:t>整改</w:t>
      </w:r>
      <w:r>
        <w:rPr>
          <w:rFonts w:hint="eastAsia" w:ascii="黑体" w:hAnsi="黑体" w:eastAsia="黑体" w:cs="黑体"/>
          <w:color w:val="auto"/>
          <w:spacing w:val="0"/>
          <w:sz w:val="32"/>
          <w:szCs w:val="32"/>
          <w:highlight w:val="none"/>
          <w:u w:val="none" w:color="auto"/>
          <w:lang w:val="en-US" w:eastAsia="zh-CN"/>
        </w:rPr>
        <w:t>任务落实</w:t>
      </w:r>
      <w:r>
        <w:rPr>
          <w:rFonts w:hint="eastAsia" w:ascii="黑体" w:hAnsi="黑体" w:eastAsia="黑体" w:cs="黑体"/>
          <w:color w:val="auto"/>
          <w:spacing w:val="0"/>
          <w:sz w:val="32"/>
          <w:szCs w:val="32"/>
          <w:highlight w:val="none"/>
          <w:u w:val="none" w:color="auto"/>
          <w:lang w:eastAsia="zh-CN"/>
        </w:rPr>
        <w:t>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pacing w:val="0"/>
          <w:kern w:val="2"/>
          <w:sz w:val="32"/>
          <w:szCs w:val="32"/>
          <w:u w:val="none" w:color="auto"/>
          <w:lang w:val="en-US" w:eastAsia="zh-CN" w:bidi="ar-SA"/>
        </w:rPr>
      </w:pPr>
      <w:r>
        <w:rPr>
          <w:rFonts w:hint="eastAsia" w:ascii="楷体_GB2312" w:hAnsi="楷体_GB2312" w:eastAsia="楷体_GB2312" w:cs="楷体_GB2312"/>
          <w:color w:val="auto"/>
          <w:spacing w:val="0"/>
          <w:kern w:val="2"/>
          <w:sz w:val="32"/>
          <w:szCs w:val="32"/>
          <w:u w:val="none" w:color="auto"/>
          <w:lang w:val="en-US" w:eastAsia="zh-CN" w:bidi="ar-SA"/>
        </w:rPr>
        <w:t>（一）关于巡察、审计等监督检查发现问题整改方面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1.完善工作机制，提升重点领域管理水平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一是优化服务项目采购。</w:t>
      </w:r>
      <w:r>
        <w:rPr>
          <w:rFonts w:hint="eastAsia" w:ascii="仿宋_GB2312" w:hAnsi="仿宋_GB2312" w:eastAsia="仿宋_GB2312" w:cs="仿宋_GB2312"/>
          <w:color w:val="auto"/>
          <w:spacing w:val="0"/>
          <w:kern w:val="2"/>
          <w:sz w:val="32"/>
          <w:szCs w:val="32"/>
          <w:u w:val="none" w:color="auto"/>
          <w:lang w:val="en-US" w:eastAsia="zh-CN" w:bidi="ar-SA"/>
        </w:rPr>
        <w:t>统筹法律服务资源，全流程规范化管理。建立定期核查机制，完善资金审核流程，提升风险防控能力。</w:t>
      </w:r>
      <w:r>
        <w:rPr>
          <w:rFonts w:hint="eastAsia" w:ascii="仿宋_GB2312" w:hAnsi="仿宋_GB2312" w:eastAsia="仿宋_GB2312" w:cs="仿宋_GB2312"/>
          <w:b/>
          <w:bCs/>
          <w:color w:val="auto"/>
          <w:spacing w:val="0"/>
          <w:kern w:val="2"/>
          <w:sz w:val="32"/>
          <w:szCs w:val="32"/>
          <w:u w:val="none" w:color="auto"/>
          <w:lang w:val="en-US" w:eastAsia="zh-CN" w:bidi="ar-SA"/>
        </w:rPr>
        <w:t>二是规范执法工作。</w:t>
      </w:r>
      <w:r>
        <w:rPr>
          <w:rFonts w:hint="eastAsia" w:ascii="仿宋_GB2312" w:hAnsi="仿宋_GB2312" w:eastAsia="仿宋_GB2312" w:cs="仿宋_GB2312"/>
          <w:color w:val="auto"/>
          <w:spacing w:val="0"/>
          <w:kern w:val="2"/>
          <w:sz w:val="32"/>
          <w:szCs w:val="32"/>
          <w:u w:val="none" w:color="auto"/>
          <w:lang w:val="en-US" w:eastAsia="zh-CN" w:bidi="ar-SA"/>
        </w:rPr>
        <w:t>依法依规推进相关案件处理，加强日常动态巡查。完善办案指引，推动执法工作标准化、长效化开展。</w:t>
      </w:r>
      <w:r>
        <w:rPr>
          <w:rFonts w:hint="eastAsia" w:ascii="仿宋_GB2312" w:hAnsi="仿宋_GB2312" w:eastAsia="仿宋_GB2312" w:cs="仿宋_GB2312"/>
          <w:b/>
          <w:bCs/>
          <w:color w:val="auto"/>
          <w:spacing w:val="0"/>
          <w:kern w:val="2"/>
          <w:sz w:val="32"/>
          <w:szCs w:val="32"/>
          <w:u w:val="none" w:color="auto"/>
          <w:lang w:val="en-US" w:eastAsia="zh-CN" w:bidi="ar-SA"/>
        </w:rPr>
        <w:t>三是积极化解群众诉求。</w:t>
      </w:r>
      <w:r>
        <w:rPr>
          <w:rFonts w:hint="eastAsia" w:ascii="仿宋_GB2312" w:hAnsi="仿宋_GB2312" w:eastAsia="仿宋_GB2312" w:cs="仿宋_GB2312"/>
          <w:color w:val="auto"/>
          <w:spacing w:val="0"/>
          <w:kern w:val="2"/>
          <w:sz w:val="32"/>
          <w:szCs w:val="32"/>
          <w:u w:val="none" w:color="auto"/>
          <w:lang w:val="en-US" w:eastAsia="zh-CN" w:bidi="ar-SA"/>
        </w:rPr>
        <w:t>落实领导分级包案负责制，强化部门间信息共享，构建早发现、早介入、早解决的响应机制。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2.加强内部管理，提升采购与资金使用透明度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一是全流程规范采购工作。</w:t>
      </w:r>
      <w:r>
        <w:rPr>
          <w:rFonts w:hint="eastAsia" w:ascii="仿宋_GB2312" w:hAnsi="仿宋_GB2312" w:eastAsia="仿宋_GB2312" w:cs="仿宋_GB2312"/>
          <w:color w:val="auto"/>
          <w:spacing w:val="0"/>
          <w:kern w:val="2"/>
          <w:sz w:val="32"/>
          <w:szCs w:val="32"/>
          <w:u w:val="none" w:color="auto"/>
          <w:lang w:val="en-US" w:eastAsia="zh-CN" w:bidi="ar-SA"/>
        </w:rPr>
        <w:t>修订采购管理制度，明确结果公示、合同履行等节点要求。加强业务培训，提升标准化操作水平。</w:t>
      </w:r>
      <w:r>
        <w:rPr>
          <w:rFonts w:hint="eastAsia" w:ascii="仿宋_GB2312" w:hAnsi="仿宋_GB2312" w:eastAsia="仿宋_GB2312" w:cs="仿宋_GB2312"/>
          <w:b/>
          <w:bCs/>
          <w:color w:val="auto"/>
          <w:spacing w:val="0"/>
          <w:kern w:val="2"/>
          <w:sz w:val="32"/>
          <w:szCs w:val="32"/>
          <w:u w:val="none" w:color="auto"/>
          <w:lang w:val="en-US" w:eastAsia="zh-CN" w:bidi="ar-SA"/>
        </w:rPr>
        <w:t>二是健全补贴发放机制。</w:t>
      </w:r>
      <w:r>
        <w:rPr>
          <w:rFonts w:hint="eastAsia" w:ascii="仿宋_GB2312" w:hAnsi="仿宋_GB2312" w:eastAsia="仿宋_GB2312" w:cs="仿宋_GB2312"/>
          <w:color w:val="auto"/>
          <w:spacing w:val="0"/>
          <w:kern w:val="2"/>
          <w:sz w:val="32"/>
          <w:szCs w:val="32"/>
          <w:u w:val="none" w:color="auto"/>
          <w:lang w:val="en-US" w:eastAsia="zh-CN" w:bidi="ar-SA"/>
        </w:rPr>
        <w:t>优化市容环卫工作模式，鼓励多元力量参与志愿服务；委托专业力量开展专项核查，确保款项发放准确到位，强化第三方机构规范管理，形成闭环监管体系。</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pacing w:val="0"/>
          <w:kern w:val="2"/>
          <w:sz w:val="32"/>
          <w:szCs w:val="32"/>
          <w:u w:val="none" w:color="auto"/>
          <w:lang w:val="en-US" w:eastAsia="zh-CN" w:bidi="ar-SA"/>
        </w:rPr>
      </w:pPr>
      <w:r>
        <w:rPr>
          <w:rFonts w:hint="eastAsia" w:ascii="楷体_GB2312" w:hAnsi="楷体_GB2312" w:eastAsia="楷体_GB2312" w:cs="楷体_GB2312"/>
          <w:color w:val="auto"/>
          <w:spacing w:val="0"/>
          <w:kern w:val="2"/>
          <w:sz w:val="32"/>
          <w:szCs w:val="32"/>
          <w:u w:val="none" w:color="auto"/>
          <w:lang w:val="en-US" w:eastAsia="zh-CN" w:bidi="ar-SA"/>
        </w:rPr>
        <w:t>在落实党的路线方针政策和党中央重大决策部署以及上级党委工作要求方面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1.严格执行“第一议题”制度，推动学习成果转化落地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一是健全学习闭环机制。</w:t>
      </w:r>
      <w:r>
        <w:rPr>
          <w:rFonts w:hint="eastAsia" w:ascii="仿宋_GB2312" w:hAnsi="仿宋_GB2312" w:eastAsia="仿宋_GB2312" w:cs="仿宋_GB2312"/>
          <w:color w:val="auto"/>
          <w:spacing w:val="0"/>
          <w:kern w:val="2"/>
          <w:sz w:val="32"/>
          <w:szCs w:val="32"/>
          <w:u w:val="none" w:color="auto"/>
          <w:lang w:val="en-US" w:eastAsia="zh-CN" w:bidi="ar-SA"/>
        </w:rPr>
        <w:t>落实“学、议、决、办、督”全过程管理，将学习部署纳入重点任务台账，由专人跟进落实，推动学习成果转化为实际举措。</w:t>
      </w:r>
      <w:r>
        <w:rPr>
          <w:rFonts w:hint="eastAsia" w:ascii="仿宋_GB2312" w:hAnsi="仿宋_GB2312" w:eastAsia="仿宋_GB2312" w:cs="仿宋_GB2312"/>
          <w:b/>
          <w:bCs/>
          <w:color w:val="auto"/>
          <w:spacing w:val="0"/>
          <w:kern w:val="2"/>
          <w:sz w:val="32"/>
          <w:szCs w:val="32"/>
          <w:u w:val="none" w:color="auto"/>
          <w:lang w:val="en-US" w:eastAsia="zh-CN" w:bidi="ar-SA"/>
        </w:rPr>
        <w:t>二是提升理论学习质量。</w:t>
      </w:r>
      <w:r>
        <w:rPr>
          <w:rFonts w:hint="eastAsia" w:ascii="仿宋_GB2312" w:hAnsi="仿宋_GB2312" w:eastAsia="仿宋_GB2312" w:cs="仿宋_GB2312"/>
          <w:color w:val="auto"/>
          <w:spacing w:val="0"/>
          <w:kern w:val="2"/>
          <w:sz w:val="32"/>
          <w:szCs w:val="32"/>
          <w:u w:val="none" w:color="auto"/>
          <w:lang w:val="en-US" w:eastAsia="zh-CN" w:bidi="ar-SA"/>
        </w:rPr>
        <w:t>规范学习记录与材料归档，完善领学与研讨制度，对学习中提出的贯彻建议明确责任主体并跟踪效能。</w:t>
      </w:r>
      <w:r>
        <w:rPr>
          <w:rFonts w:hint="eastAsia" w:ascii="仿宋_GB2312" w:hAnsi="仿宋_GB2312" w:eastAsia="仿宋_GB2312" w:cs="仿宋_GB2312"/>
          <w:b/>
          <w:bCs/>
          <w:color w:val="auto"/>
          <w:spacing w:val="0"/>
          <w:kern w:val="2"/>
          <w:sz w:val="32"/>
          <w:szCs w:val="32"/>
          <w:u w:val="none" w:color="auto"/>
          <w:lang w:val="en-US" w:eastAsia="zh-CN" w:bidi="ar-SA"/>
        </w:rPr>
        <w:t>三是严格落实中心组学习制度。</w:t>
      </w:r>
      <w:r>
        <w:rPr>
          <w:rFonts w:hint="eastAsia" w:ascii="仿宋_GB2312" w:hAnsi="仿宋_GB2312" w:eastAsia="仿宋_GB2312" w:cs="仿宋_GB2312"/>
          <w:color w:val="auto"/>
          <w:spacing w:val="0"/>
          <w:kern w:val="2"/>
          <w:sz w:val="32"/>
          <w:szCs w:val="32"/>
          <w:u w:val="none" w:color="auto"/>
          <w:lang w:val="en-US" w:eastAsia="zh-CN" w:bidi="ar-SA"/>
        </w:rPr>
        <w:t>对标年度重点内容开展专题研讨，优化组织流程，确保理论学习与辖区发展实际深度结合。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2.强力落实“百千万工程”，街社高质量发展实现新提升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一是提升民生诉求解决效能。</w:t>
      </w:r>
      <w:r>
        <w:rPr>
          <w:rFonts w:hint="eastAsia" w:ascii="仿宋_GB2312" w:hAnsi="仿宋_GB2312" w:eastAsia="仿宋_GB2312" w:cs="仿宋_GB2312"/>
          <w:color w:val="auto"/>
          <w:spacing w:val="0"/>
          <w:kern w:val="2"/>
          <w:sz w:val="32"/>
          <w:szCs w:val="32"/>
          <w:u w:val="none" w:color="auto"/>
          <w:lang w:val="en-US" w:eastAsia="zh-CN" w:bidi="ar-SA"/>
        </w:rPr>
        <w:t>建立任务清单定期调度机制。通过议事平台整合专业力量，建立基层法律服务室，有效化解各类矛盾纠纷，提升群众满意度。</w:t>
      </w:r>
      <w:r>
        <w:rPr>
          <w:rFonts w:hint="eastAsia" w:ascii="仿宋_GB2312" w:hAnsi="仿宋_GB2312" w:eastAsia="仿宋_GB2312" w:cs="仿宋_GB2312"/>
          <w:b/>
          <w:bCs/>
          <w:color w:val="auto"/>
          <w:spacing w:val="0"/>
          <w:kern w:val="2"/>
          <w:sz w:val="32"/>
          <w:szCs w:val="32"/>
          <w:u w:val="none" w:color="auto"/>
          <w:lang w:val="en-US" w:eastAsia="zh-CN" w:bidi="ar-SA"/>
        </w:rPr>
        <w:t>二是增强服务项目惠民成效。</w:t>
      </w:r>
      <w:r>
        <w:rPr>
          <w:rFonts w:hint="eastAsia" w:ascii="仿宋_GB2312" w:hAnsi="仿宋_GB2312" w:eastAsia="仿宋_GB2312" w:cs="仿宋_GB2312"/>
          <w:color w:val="auto"/>
          <w:spacing w:val="0"/>
          <w:kern w:val="2"/>
          <w:sz w:val="32"/>
          <w:szCs w:val="32"/>
          <w:u w:val="none" w:color="auto"/>
          <w:lang w:val="en-US" w:eastAsia="zh-CN" w:bidi="ar-SA"/>
        </w:rPr>
        <w:t>推出创新创业支持计划，惠及广泛青年群体。常态化开展各类文体活动，激活商圈活力。深入推进民生微实事，高质量完成年度任务。</w:t>
      </w:r>
      <w:r>
        <w:rPr>
          <w:rFonts w:hint="eastAsia" w:ascii="仿宋_GB2312" w:hAnsi="仿宋_GB2312" w:eastAsia="仿宋_GB2312" w:cs="仿宋_GB2312"/>
          <w:b/>
          <w:bCs/>
          <w:color w:val="auto"/>
          <w:spacing w:val="0"/>
          <w:kern w:val="2"/>
          <w:sz w:val="32"/>
          <w:szCs w:val="32"/>
          <w:u w:val="none" w:color="auto"/>
          <w:lang w:val="en-US" w:eastAsia="zh-CN" w:bidi="ar-SA"/>
        </w:rPr>
        <w:t>三是深化对口协作实效。</w:t>
      </w:r>
      <w:r>
        <w:rPr>
          <w:rFonts w:hint="eastAsia" w:ascii="仿宋_GB2312" w:hAnsi="仿宋_GB2312" w:eastAsia="仿宋_GB2312" w:cs="仿宋_GB2312"/>
          <w:color w:val="auto"/>
          <w:spacing w:val="0"/>
          <w:kern w:val="2"/>
          <w:sz w:val="32"/>
          <w:szCs w:val="32"/>
          <w:u w:val="none" w:color="auto"/>
          <w:lang w:val="en-US" w:eastAsia="zh-CN" w:bidi="ar-SA"/>
        </w:rPr>
        <w:t>推动跨区域结对项目落地，通过消费协作等方式积极履行支援责任，超额完成既定工作目标。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3.全面落实国家战略，服务保障河套合作区实现新突破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一是健全协同联动机制。</w:t>
      </w:r>
      <w:r>
        <w:rPr>
          <w:rFonts w:hint="eastAsia" w:ascii="仿宋_GB2312" w:hAnsi="仿宋_GB2312" w:eastAsia="仿宋_GB2312" w:cs="仿宋_GB2312"/>
          <w:color w:val="auto"/>
          <w:spacing w:val="0"/>
          <w:kern w:val="2"/>
          <w:sz w:val="32"/>
          <w:szCs w:val="32"/>
          <w:u w:val="none" w:color="auto"/>
          <w:lang w:val="en-US" w:eastAsia="zh-CN" w:bidi="ar-SA"/>
        </w:rPr>
        <w:t>聚焦产业与人才服务，形成重点项目清单并纳入绩效考核；加强与相关职能部门常态化对接，通过多方协调机制提升服务保障能力。</w:t>
      </w:r>
      <w:r>
        <w:rPr>
          <w:rFonts w:hint="eastAsia" w:ascii="仿宋_GB2312" w:hAnsi="仿宋_GB2312" w:eastAsia="仿宋_GB2312" w:cs="仿宋_GB2312"/>
          <w:b/>
          <w:bCs/>
          <w:color w:val="auto"/>
          <w:spacing w:val="0"/>
          <w:kern w:val="2"/>
          <w:sz w:val="32"/>
          <w:szCs w:val="32"/>
          <w:u w:val="none" w:color="auto"/>
          <w:lang w:val="en-US" w:eastAsia="zh-CN" w:bidi="ar-SA"/>
        </w:rPr>
        <w:t>二是优化企业服务模式。</w:t>
      </w:r>
      <w:r>
        <w:rPr>
          <w:rFonts w:hint="eastAsia" w:ascii="仿宋_GB2312" w:hAnsi="仿宋_GB2312" w:eastAsia="仿宋_GB2312" w:cs="仿宋_GB2312"/>
          <w:color w:val="auto"/>
          <w:spacing w:val="0"/>
          <w:kern w:val="2"/>
          <w:sz w:val="32"/>
          <w:szCs w:val="32"/>
          <w:u w:val="none" w:color="auto"/>
          <w:lang w:val="en-US" w:eastAsia="zh-CN" w:bidi="ar-SA"/>
        </w:rPr>
        <w:t>建立包干负责制，对企业诉求实行分类处置与跟踪办理，将服务成效纳入考核评估，实现风险监测与企业服务的全覆盖。</w:t>
      </w:r>
      <w:r>
        <w:rPr>
          <w:rFonts w:hint="eastAsia" w:ascii="仿宋_GB2312" w:hAnsi="仿宋_GB2312" w:eastAsia="仿宋_GB2312" w:cs="仿宋_GB2312"/>
          <w:b/>
          <w:bCs/>
          <w:color w:val="auto"/>
          <w:spacing w:val="0"/>
          <w:kern w:val="2"/>
          <w:sz w:val="32"/>
          <w:szCs w:val="32"/>
          <w:u w:val="none" w:color="auto"/>
          <w:lang w:val="en-US" w:eastAsia="zh-CN" w:bidi="ar-SA"/>
        </w:rPr>
        <w:t>三是打造安全有序发展环境。</w:t>
      </w:r>
      <w:r>
        <w:rPr>
          <w:rFonts w:hint="eastAsia" w:ascii="仿宋_GB2312" w:hAnsi="仿宋_GB2312" w:eastAsia="仿宋_GB2312" w:cs="仿宋_GB2312"/>
          <w:color w:val="auto"/>
          <w:spacing w:val="0"/>
          <w:kern w:val="2"/>
          <w:sz w:val="32"/>
          <w:szCs w:val="32"/>
          <w:u w:val="none" w:color="auto"/>
          <w:lang w:val="en-US" w:eastAsia="zh-CN" w:bidi="ar-SA"/>
        </w:rPr>
        <w:t>摸排重点区域安全底数，完善应急联络机制。优化园区交通环境，加强高峰时段引导，提升整体运行效能。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4.纵深推进安全生产整治，夯实辖区消防安全基础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一是加强火灾隐患排查整治。</w:t>
      </w:r>
      <w:r>
        <w:rPr>
          <w:rFonts w:hint="eastAsia" w:ascii="仿宋_GB2312" w:hAnsi="仿宋_GB2312" w:eastAsia="仿宋_GB2312" w:cs="仿宋_GB2312"/>
          <w:color w:val="auto"/>
          <w:spacing w:val="0"/>
          <w:kern w:val="2"/>
          <w:sz w:val="32"/>
          <w:szCs w:val="32"/>
          <w:u w:val="none" w:color="auto"/>
          <w:lang w:val="en-US" w:eastAsia="zh-CN" w:bidi="ar-SA"/>
        </w:rPr>
        <w:t>开展重点领域专项整治，建立常态化巡查与通报制度，及时消除风险隐患，组织应急演练，维护安全形势平稳。</w:t>
      </w:r>
      <w:r>
        <w:rPr>
          <w:rFonts w:hint="eastAsia" w:ascii="仿宋_GB2312" w:hAnsi="仿宋_GB2312" w:eastAsia="仿宋_GB2312" w:cs="仿宋_GB2312"/>
          <w:b/>
          <w:bCs/>
          <w:color w:val="auto"/>
          <w:spacing w:val="0"/>
          <w:kern w:val="2"/>
          <w:sz w:val="32"/>
          <w:szCs w:val="32"/>
          <w:u w:val="none" w:color="auto"/>
          <w:lang w:val="en-US" w:eastAsia="zh-CN" w:bidi="ar-SA"/>
        </w:rPr>
        <w:t>二是补齐基层消防安全短板。</w:t>
      </w:r>
      <w:r>
        <w:rPr>
          <w:rFonts w:hint="eastAsia" w:ascii="仿宋_GB2312" w:hAnsi="仿宋_GB2312" w:eastAsia="仿宋_GB2312" w:cs="仿宋_GB2312"/>
          <w:color w:val="auto"/>
          <w:spacing w:val="0"/>
          <w:kern w:val="2"/>
          <w:sz w:val="32"/>
          <w:szCs w:val="32"/>
          <w:u w:val="none" w:color="auto"/>
          <w:lang w:val="en-US" w:eastAsia="zh-CN" w:bidi="ar-SA"/>
        </w:rPr>
        <w:t>分类提升老旧区域消防设施配置，加强巡查队伍建设，实现重点区域应急演练常态化，夯实基层防灾减灾基础。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5.深化安全风险源头治理，全面提升工程监管水平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一是规范空间使用管理。</w:t>
      </w:r>
      <w:r>
        <w:rPr>
          <w:rFonts w:hint="eastAsia" w:ascii="仿宋_GB2312" w:hAnsi="仿宋_GB2312" w:eastAsia="仿宋_GB2312" w:cs="仿宋_GB2312"/>
          <w:color w:val="auto"/>
          <w:spacing w:val="0"/>
          <w:kern w:val="2"/>
          <w:sz w:val="32"/>
          <w:szCs w:val="32"/>
          <w:u w:val="none" w:color="auto"/>
          <w:lang w:val="en-US" w:eastAsia="zh-CN" w:bidi="ar-SA"/>
        </w:rPr>
        <w:t>持续推进违规存量整改，严控新增问题。落实安全巡查责任，强化人员培训，巩固整治成果。</w:t>
      </w:r>
      <w:r>
        <w:rPr>
          <w:rFonts w:hint="eastAsia" w:ascii="仿宋_GB2312" w:hAnsi="仿宋_GB2312" w:eastAsia="仿宋_GB2312" w:cs="仿宋_GB2312"/>
          <w:b/>
          <w:bCs/>
          <w:color w:val="auto"/>
          <w:spacing w:val="0"/>
          <w:kern w:val="2"/>
          <w:sz w:val="32"/>
          <w:szCs w:val="32"/>
          <w:u w:val="none" w:color="auto"/>
          <w:lang w:val="en-US" w:eastAsia="zh-CN" w:bidi="ar-SA"/>
        </w:rPr>
        <w:t>二是加强小散工程风险防控。</w:t>
      </w:r>
      <w:r>
        <w:rPr>
          <w:rFonts w:hint="eastAsia" w:ascii="仿宋_GB2312" w:hAnsi="仿宋_GB2312" w:eastAsia="仿宋_GB2312" w:cs="仿宋_GB2312"/>
          <w:color w:val="auto"/>
          <w:spacing w:val="0"/>
          <w:kern w:val="2"/>
          <w:sz w:val="32"/>
          <w:szCs w:val="32"/>
          <w:u w:val="none" w:color="auto"/>
          <w:lang w:val="en-US" w:eastAsia="zh-CN" w:bidi="ar-SA"/>
        </w:rPr>
        <w:t>健全常态化排查机制，规范审批管理，指导物业落实备案审核责任，从源头防范资质违规使用风险。</w:t>
      </w:r>
      <w:r>
        <w:rPr>
          <w:rFonts w:hint="eastAsia" w:ascii="仿宋_GB2312" w:hAnsi="仿宋_GB2312" w:eastAsia="仿宋_GB2312" w:cs="仿宋_GB2312"/>
          <w:b/>
          <w:bCs/>
          <w:color w:val="auto"/>
          <w:spacing w:val="0"/>
          <w:kern w:val="2"/>
          <w:sz w:val="32"/>
          <w:szCs w:val="32"/>
          <w:u w:val="none" w:color="auto"/>
          <w:lang w:val="en-US" w:eastAsia="zh-CN" w:bidi="ar-SA"/>
        </w:rPr>
        <w:t>三是织密工程安全监管网络。</w:t>
      </w:r>
      <w:r>
        <w:rPr>
          <w:rFonts w:hint="eastAsia" w:ascii="仿宋_GB2312" w:hAnsi="仿宋_GB2312" w:eastAsia="仿宋_GB2312" w:cs="仿宋_GB2312"/>
          <w:color w:val="auto"/>
          <w:spacing w:val="0"/>
          <w:kern w:val="2"/>
          <w:sz w:val="32"/>
          <w:szCs w:val="32"/>
          <w:u w:val="none" w:color="auto"/>
          <w:lang w:val="en-US" w:eastAsia="zh-CN" w:bidi="ar-SA"/>
        </w:rPr>
        <w:t>完善监管体系，针对重点项目开展专业巡查，严格执行作业前核验制度，强化安全教育，筑牢生产安全防线。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6.多元共治深化矛盾化解，筑牢风险防控屏障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一是源头化解物业纠纷。</w:t>
      </w:r>
      <w:r>
        <w:rPr>
          <w:rFonts w:hint="eastAsia" w:ascii="仿宋_GB2312" w:hAnsi="仿宋_GB2312" w:eastAsia="仿宋_GB2312" w:cs="仿宋_GB2312"/>
          <w:color w:val="auto"/>
          <w:spacing w:val="0"/>
          <w:kern w:val="2"/>
          <w:sz w:val="32"/>
          <w:szCs w:val="32"/>
          <w:u w:val="none" w:color="auto"/>
          <w:lang w:val="en-US" w:eastAsia="zh-CN" w:bidi="ar-SA"/>
        </w:rPr>
        <w:t>深化多元共治机制，设立诉求服务站点。组建工作专班驻点矛盾集中区域，精准施策，推动物业纠纷发生率有效下降。</w:t>
      </w:r>
      <w:r>
        <w:rPr>
          <w:rFonts w:hint="eastAsia" w:ascii="仿宋_GB2312" w:hAnsi="仿宋_GB2312" w:eastAsia="仿宋_GB2312" w:cs="仿宋_GB2312"/>
          <w:b/>
          <w:bCs/>
          <w:color w:val="auto"/>
          <w:spacing w:val="0"/>
          <w:kern w:val="2"/>
          <w:sz w:val="32"/>
          <w:szCs w:val="32"/>
          <w:u w:val="none" w:color="auto"/>
          <w:lang w:val="en-US" w:eastAsia="zh-CN" w:bidi="ar-SA"/>
        </w:rPr>
        <w:t>二是强化劳资纠纷研判预警。</w:t>
      </w:r>
      <w:r>
        <w:rPr>
          <w:rFonts w:hint="eastAsia" w:ascii="仿宋_GB2312" w:hAnsi="仿宋_GB2312" w:eastAsia="仿宋_GB2312" w:cs="仿宋_GB2312"/>
          <w:color w:val="auto"/>
          <w:spacing w:val="0"/>
          <w:kern w:val="2"/>
          <w:sz w:val="32"/>
          <w:szCs w:val="32"/>
          <w:u w:val="none" w:color="auto"/>
          <w:lang w:val="en-US" w:eastAsia="zh-CN" w:bidi="ar-SA"/>
        </w:rPr>
        <w:t>构建三级联动调处机制，聚焦重点区域开展专项治理，防范化解经营与用工风险。</w:t>
      </w:r>
      <w:r>
        <w:rPr>
          <w:rFonts w:hint="eastAsia" w:ascii="仿宋_GB2312" w:hAnsi="仿宋_GB2312" w:eastAsia="仿宋_GB2312" w:cs="仿宋_GB2312"/>
          <w:b/>
          <w:bCs/>
          <w:color w:val="auto"/>
          <w:spacing w:val="0"/>
          <w:kern w:val="2"/>
          <w:sz w:val="32"/>
          <w:szCs w:val="32"/>
          <w:u w:val="none" w:color="auto"/>
          <w:lang w:val="en-US" w:eastAsia="zh-CN" w:bidi="ar-SA"/>
        </w:rPr>
        <w:t>三是规范行业经营行为。</w:t>
      </w:r>
      <w:r>
        <w:rPr>
          <w:rFonts w:hint="eastAsia" w:ascii="仿宋_GB2312" w:hAnsi="仿宋_GB2312" w:eastAsia="仿宋_GB2312" w:cs="仿宋_GB2312"/>
          <w:color w:val="auto"/>
          <w:spacing w:val="0"/>
          <w:kern w:val="2"/>
          <w:sz w:val="32"/>
          <w:szCs w:val="32"/>
          <w:u w:val="none" w:color="auto"/>
          <w:lang w:val="en-US" w:eastAsia="zh-CN" w:bidi="ar-SA"/>
        </w:rPr>
        <w:t>开展行业动态摸排，将高风险企业纳入重点监管。加强宣传引导，提升商户合规经营意识，有效减少相关投诉。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7.全面落实意识形态工作责任制，筑牢思想安全屏障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一是压实意识形态工作责任。</w:t>
      </w:r>
      <w:r>
        <w:rPr>
          <w:rFonts w:hint="eastAsia" w:ascii="仿宋_GB2312" w:hAnsi="仿宋_GB2312" w:eastAsia="仿宋_GB2312" w:cs="仿宋_GB2312"/>
          <w:color w:val="auto"/>
          <w:spacing w:val="0"/>
          <w:kern w:val="2"/>
          <w:sz w:val="32"/>
          <w:szCs w:val="32"/>
          <w:u w:val="none" w:color="auto"/>
          <w:lang w:val="en-US" w:eastAsia="zh-CN" w:bidi="ar-SA"/>
        </w:rPr>
        <w:t>建立各级党组织“履责清单”，在述职报告中明确履职内容，建立内容审核机制，严格把关各类意识形态阵地。</w:t>
      </w:r>
      <w:r>
        <w:rPr>
          <w:rFonts w:hint="eastAsia" w:ascii="仿宋_GB2312" w:hAnsi="仿宋_GB2312" w:eastAsia="仿宋_GB2312" w:cs="仿宋_GB2312"/>
          <w:b/>
          <w:bCs/>
          <w:color w:val="auto"/>
          <w:spacing w:val="0"/>
          <w:kern w:val="2"/>
          <w:sz w:val="32"/>
          <w:szCs w:val="32"/>
          <w:u w:val="none" w:color="auto"/>
          <w:lang w:val="en-US" w:eastAsia="zh-CN" w:bidi="ar-SA"/>
        </w:rPr>
        <w:t>二是健全民意收集网络。</w:t>
      </w:r>
      <w:r>
        <w:rPr>
          <w:rFonts w:hint="eastAsia" w:ascii="仿宋_GB2312" w:hAnsi="仿宋_GB2312" w:eastAsia="仿宋_GB2312" w:cs="仿宋_GB2312"/>
          <w:color w:val="auto"/>
          <w:spacing w:val="0"/>
          <w:kern w:val="2"/>
          <w:sz w:val="32"/>
          <w:szCs w:val="32"/>
          <w:u w:val="none" w:color="auto"/>
          <w:lang w:val="en-US" w:eastAsia="zh-CN" w:bidi="ar-SA"/>
        </w:rPr>
        <w:t>关注热点民生事项，选拔骨干组建专项团队，加强在各平台的沟通引导，积极回应群众关切。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三是完善信息监测预警机制。</w:t>
      </w:r>
      <w:r>
        <w:rPr>
          <w:rFonts w:hint="eastAsia" w:ascii="仿宋_GB2312" w:hAnsi="仿宋_GB2312" w:eastAsia="仿宋_GB2312" w:cs="仿宋_GB2312"/>
          <w:color w:val="auto"/>
          <w:spacing w:val="0"/>
          <w:kern w:val="2"/>
          <w:sz w:val="32"/>
          <w:szCs w:val="32"/>
          <w:u w:val="none" w:color="auto"/>
          <w:lang w:val="en-US" w:eastAsia="zh-CN" w:bidi="ar-SA"/>
        </w:rPr>
        <w:t>推动热点问题一线化解，开展网络安全检查并督促整改，细化分级处置预案，提升风险应对能力。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pacing w:val="0"/>
          <w:kern w:val="2"/>
          <w:sz w:val="32"/>
          <w:szCs w:val="32"/>
          <w:u w:val="none" w:color="auto"/>
          <w:lang w:val="en-US" w:eastAsia="zh-CN" w:bidi="ar-SA"/>
        </w:rPr>
      </w:pPr>
      <w:r>
        <w:rPr>
          <w:rFonts w:hint="eastAsia" w:ascii="楷体_GB2312" w:hAnsi="楷体_GB2312" w:eastAsia="楷体_GB2312" w:cs="楷体_GB2312"/>
          <w:color w:val="auto"/>
          <w:spacing w:val="0"/>
          <w:kern w:val="2"/>
          <w:sz w:val="32"/>
          <w:szCs w:val="32"/>
          <w:u w:val="none" w:color="auto"/>
          <w:lang w:val="en-US" w:eastAsia="zh-CN" w:bidi="ar-SA"/>
        </w:rPr>
        <w:t>（三）落实全面从严治党主体责任方面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1.压实管党治党责任，纵深推进党风廉政建设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一是靶向监督闭环管控。</w:t>
      </w:r>
      <w:r>
        <w:rPr>
          <w:rFonts w:hint="eastAsia" w:ascii="仿宋_GB2312" w:hAnsi="仿宋_GB2312" w:eastAsia="仿宋_GB2312" w:cs="仿宋_GB2312"/>
          <w:color w:val="auto"/>
          <w:spacing w:val="0"/>
          <w:kern w:val="2"/>
          <w:sz w:val="32"/>
          <w:szCs w:val="32"/>
          <w:u w:val="none" w:color="auto"/>
          <w:lang w:val="en-US" w:eastAsia="zh-CN" w:bidi="ar-SA"/>
        </w:rPr>
        <w:t>聚焦重点廉政风险领域开展专项监督，形成“研判—检查—整改”的防控链条。</w:t>
      </w:r>
      <w:r>
        <w:rPr>
          <w:rFonts w:hint="eastAsia" w:ascii="仿宋_GB2312" w:hAnsi="仿宋_GB2312" w:eastAsia="仿宋_GB2312" w:cs="仿宋_GB2312"/>
          <w:b/>
          <w:bCs/>
          <w:color w:val="auto"/>
          <w:spacing w:val="0"/>
          <w:kern w:val="2"/>
          <w:sz w:val="32"/>
          <w:szCs w:val="32"/>
          <w:u w:val="none" w:color="auto"/>
          <w:lang w:val="en-US" w:eastAsia="zh-CN" w:bidi="ar-SA"/>
        </w:rPr>
        <w:t>二是监督整改多措并举。</w:t>
      </w:r>
      <w:r>
        <w:rPr>
          <w:rFonts w:hint="eastAsia" w:ascii="仿宋_GB2312" w:hAnsi="仿宋_GB2312" w:eastAsia="仿宋_GB2312" w:cs="仿宋_GB2312"/>
          <w:color w:val="auto"/>
          <w:spacing w:val="0"/>
          <w:kern w:val="2"/>
          <w:sz w:val="32"/>
          <w:szCs w:val="32"/>
          <w:u w:val="none" w:color="auto"/>
          <w:lang w:val="en-US" w:eastAsia="zh-CN" w:bidi="ar-SA"/>
        </w:rPr>
        <w:t>针对重点岗位发放工作提醒，开展案例警示教育，建立分级分类的常态化诫勉提醒机制。</w:t>
      </w:r>
      <w:r>
        <w:rPr>
          <w:rFonts w:hint="eastAsia" w:ascii="仿宋_GB2312" w:hAnsi="仿宋_GB2312" w:eastAsia="仿宋_GB2312" w:cs="仿宋_GB2312"/>
          <w:b/>
          <w:bCs/>
          <w:color w:val="auto"/>
          <w:spacing w:val="0"/>
          <w:kern w:val="2"/>
          <w:sz w:val="32"/>
          <w:szCs w:val="32"/>
          <w:u w:val="none" w:color="auto"/>
          <w:lang w:val="en-US" w:eastAsia="zh-CN" w:bidi="ar-SA"/>
        </w:rPr>
        <w:t>三是集中整治纵深推进。</w:t>
      </w:r>
      <w:r>
        <w:rPr>
          <w:rFonts w:hint="eastAsia" w:ascii="仿宋_GB2312" w:hAnsi="仿宋_GB2312" w:eastAsia="仿宋_GB2312" w:cs="仿宋_GB2312"/>
          <w:color w:val="auto"/>
          <w:spacing w:val="0"/>
          <w:kern w:val="2"/>
          <w:sz w:val="32"/>
          <w:szCs w:val="32"/>
          <w:u w:val="none" w:color="auto"/>
          <w:lang w:val="en-US" w:eastAsia="zh-CN" w:bidi="ar-SA"/>
        </w:rPr>
        <w:t>督促相关股份公司完善内控制度，针对群众关切问题动态优化整治方案，畅通监督渠道。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2.标本兼治规范采购招标，从严管控降本增效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一是科学配置人员规模。</w:t>
      </w:r>
      <w:r>
        <w:rPr>
          <w:rFonts w:hint="eastAsia" w:ascii="仿宋_GB2312" w:hAnsi="仿宋_GB2312" w:eastAsia="仿宋_GB2312" w:cs="仿宋_GB2312"/>
          <w:color w:val="auto"/>
          <w:spacing w:val="0"/>
          <w:kern w:val="2"/>
          <w:sz w:val="32"/>
          <w:szCs w:val="32"/>
          <w:u w:val="none" w:color="auto"/>
          <w:lang w:val="en-US" w:eastAsia="zh-CN" w:bidi="ar-SA"/>
        </w:rPr>
        <w:t>合理优化人员结构，制定科学调整方案。修订完善管理制度，建立岗前审核机制，实现人员管理精准化。</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二是强化招标审核把关。</w:t>
      </w:r>
      <w:r>
        <w:rPr>
          <w:rFonts w:hint="eastAsia" w:ascii="仿宋_GB2312" w:hAnsi="仿宋_GB2312" w:eastAsia="仿宋_GB2312" w:cs="仿宋_GB2312"/>
          <w:color w:val="auto"/>
          <w:spacing w:val="0"/>
          <w:kern w:val="2"/>
          <w:sz w:val="32"/>
          <w:szCs w:val="32"/>
          <w:u w:val="none" w:color="auto"/>
          <w:lang w:val="en-US" w:eastAsia="zh-CN" w:bidi="ar-SA"/>
        </w:rPr>
        <w:t>严格落实公平竞争要求，加强对采购需求和招标文件的合规性审查，完善自行采购管理办法。</w:t>
      </w:r>
      <w:r>
        <w:rPr>
          <w:rFonts w:hint="eastAsia" w:ascii="仿宋_GB2312" w:hAnsi="仿宋_GB2312" w:eastAsia="仿宋_GB2312" w:cs="仿宋_GB2312"/>
          <w:b/>
          <w:bCs/>
          <w:color w:val="auto"/>
          <w:spacing w:val="0"/>
          <w:kern w:val="2"/>
          <w:sz w:val="32"/>
          <w:szCs w:val="32"/>
          <w:u w:val="none" w:color="auto"/>
          <w:lang w:val="en-US" w:eastAsia="zh-CN" w:bidi="ar-SA"/>
        </w:rPr>
        <w:t>三是规范招标程序管理。</w:t>
      </w:r>
      <w:r>
        <w:rPr>
          <w:rFonts w:hint="eastAsia" w:ascii="仿宋_GB2312" w:hAnsi="仿宋_GB2312" w:eastAsia="仿宋_GB2312" w:cs="仿宋_GB2312"/>
          <w:color w:val="auto"/>
          <w:spacing w:val="0"/>
          <w:kern w:val="2"/>
          <w:sz w:val="32"/>
          <w:szCs w:val="32"/>
          <w:u w:val="none" w:color="auto"/>
          <w:lang w:val="en-US" w:eastAsia="zh-CN" w:bidi="ar-SA"/>
        </w:rPr>
        <w:t>开展历史项目核查纠治，组织业务培训梳理关键环节，建立自查与备案相结合的机制，规范验收与合同管理。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3.靶向施策纠治形式主义，提升机关工作质效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一是严格落实基层减负要求。</w:t>
      </w:r>
      <w:r>
        <w:rPr>
          <w:rFonts w:hint="eastAsia" w:ascii="仿宋_GB2312" w:hAnsi="仿宋_GB2312" w:eastAsia="仿宋_GB2312" w:cs="仿宋_GB2312"/>
          <w:color w:val="auto"/>
          <w:spacing w:val="0"/>
          <w:kern w:val="2"/>
          <w:sz w:val="32"/>
          <w:szCs w:val="32"/>
          <w:u w:val="none" w:color="auto"/>
          <w:lang w:val="en-US" w:eastAsia="zh-CN" w:bidi="ar-SA"/>
        </w:rPr>
        <w:t>精简文电会议，推广一线协调工作法，严控会议规模与频次，切实为基层腾出实干空间。</w:t>
      </w:r>
      <w:r>
        <w:rPr>
          <w:rFonts w:hint="eastAsia" w:ascii="仿宋_GB2312" w:hAnsi="仿宋_GB2312" w:eastAsia="仿宋_GB2312" w:cs="仿宋_GB2312"/>
          <w:b/>
          <w:bCs/>
          <w:color w:val="auto"/>
          <w:spacing w:val="0"/>
          <w:kern w:val="2"/>
          <w:sz w:val="32"/>
          <w:szCs w:val="32"/>
          <w:u w:val="none" w:color="auto"/>
          <w:lang w:val="en-US" w:eastAsia="zh-CN" w:bidi="ar-SA"/>
        </w:rPr>
        <w:t>二是整合优化政务应用。</w:t>
      </w:r>
      <w:r>
        <w:rPr>
          <w:rFonts w:hint="eastAsia" w:ascii="仿宋_GB2312" w:hAnsi="仿宋_GB2312" w:eastAsia="仿宋_GB2312" w:cs="仿宋_GB2312"/>
          <w:color w:val="auto"/>
          <w:spacing w:val="0"/>
          <w:kern w:val="2"/>
          <w:sz w:val="32"/>
          <w:szCs w:val="32"/>
          <w:u w:val="none" w:color="auto"/>
          <w:lang w:val="en-US" w:eastAsia="zh-CN" w:bidi="ar-SA"/>
        </w:rPr>
        <w:t>对功能重复的数字模块进行合并，统一管理入口。出台信息化项目管理办法，强化资源共享，避免重复建设。</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楷体_GB2312" w:hAnsi="楷体_GB2312" w:eastAsia="楷体_GB2312" w:cs="楷体_GB2312"/>
          <w:color w:val="auto"/>
          <w:spacing w:val="0"/>
          <w:kern w:val="2"/>
          <w:sz w:val="32"/>
          <w:szCs w:val="32"/>
          <w:u w:val="none" w:color="auto"/>
          <w:lang w:val="en-US" w:eastAsia="zh-CN" w:bidi="ar-SA"/>
        </w:rPr>
      </w:pPr>
      <w:r>
        <w:rPr>
          <w:rFonts w:hint="eastAsia" w:ascii="楷体_GB2312" w:hAnsi="楷体_GB2312" w:eastAsia="楷体_GB2312" w:cs="楷体_GB2312"/>
          <w:color w:val="auto"/>
          <w:spacing w:val="0"/>
          <w:kern w:val="2"/>
          <w:sz w:val="32"/>
          <w:szCs w:val="32"/>
          <w:u w:val="none" w:color="auto"/>
          <w:lang w:val="en-US" w:eastAsia="zh-CN" w:bidi="ar-SA"/>
        </w:rPr>
        <w:t>（四）关于落实新时代党的组织路线方面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1.健全规范决策机制,严格执行民主集中制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一是规范议事决策流程。</w:t>
      </w:r>
      <w:r>
        <w:rPr>
          <w:rFonts w:hint="eastAsia" w:ascii="仿宋_GB2312" w:hAnsi="仿宋_GB2312" w:eastAsia="仿宋_GB2312" w:cs="仿宋_GB2312"/>
          <w:color w:val="auto"/>
          <w:spacing w:val="0"/>
          <w:kern w:val="2"/>
          <w:sz w:val="32"/>
          <w:szCs w:val="32"/>
          <w:u w:val="none" w:color="auto"/>
          <w:lang w:val="en-US" w:eastAsia="zh-CN" w:bidi="ar-SA"/>
        </w:rPr>
        <w:t>严格执行集体讨论决定制度，确保班子成员充分发表意见。</w:t>
      </w:r>
      <w:r>
        <w:rPr>
          <w:rFonts w:hint="eastAsia" w:ascii="仿宋_GB2312" w:hAnsi="仿宋_GB2312" w:eastAsia="仿宋_GB2312" w:cs="仿宋_GB2312"/>
          <w:b/>
          <w:bCs/>
          <w:color w:val="auto"/>
          <w:spacing w:val="0"/>
          <w:kern w:val="2"/>
          <w:sz w:val="32"/>
          <w:szCs w:val="32"/>
          <w:u w:val="none" w:color="auto"/>
          <w:lang w:val="en-US" w:eastAsia="zh-CN" w:bidi="ar-SA"/>
        </w:rPr>
        <w:t>二是统一规范管理标准。</w:t>
      </w:r>
      <w:r>
        <w:rPr>
          <w:rFonts w:hint="eastAsia" w:ascii="仿宋_GB2312" w:hAnsi="仿宋_GB2312" w:eastAsia="仿宋_GB2312" w:cs="仿宋_GB2312"/>
          <w:color w:val="auto"/>
          <w:spacing w:val="0"/>
          <w:kern w:val="2"/>
          <w:sz w:val="32"/>
          <w:szCs w:val="32"/>
          <w:u w:val="none" w:color="auto"/>
          <w:lang w:val="en-US" w:eastAsia="zh-CN" w:bidi="ar-SA"/>
        </w:rPr>
        <w:t>修订财务及预算管理相关制度，提升制度执行的严肃性。</w:t>
      </w:r>
      <w:r>
        <w:rPr>
          <w:rFonts w:hint="eastAsia" w:ascii="仿宋_GB2312" w:hAnsi="仿宋_GB2312" w:eastAsia="仿宋_GB2312" w:cs="仿宋_GB2312"/>
          <w:b/>
          <w:bCs/>
          <w:color w:val="auto"/>
          <w:spacing w:val="0"/>
          <w:kern w:val="2"/>
          <w:sz w:val="32"/>
          <w:szCs w:val="32"/>
          <w:u w:val="none" w:color="auto"/>
          <w:lang w:val="en-US" w:eastAsia="zh-CN" w:bidi="ar-SA"/>
        </w:rPr>
        <w:t>三是加强会议记录管理。</w:t>
      </w:r>
      <w:r>
        <w:rPr>
          <w:rFonts w:hint="eastAsia" w:ascii="仿宋_GB2312" w:hAnsi="仿宋_GB2312" w:eastAsia="仿宋_GB2312" w:cs="仿宋_GB2312"/>
          <w:color w:val="auto"/>
          <w:spacing w:val="0"/>
          <w:kern w:val="2"/>
          <w:sz w:val="32"/>
          <w:szCs w:val="32"/>
          <w:u w:val="none" w:color="auto"/>
          <w:lang w:val="en-US" w:eastAsia="zh-CN" w:bidi="ar-SA"/>
        </w:rPr>
        <w:t>真实、准确记录决策过程，定期开展合规性检查。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2.优化科室分工，提升内部管理效能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一是优化内部职能设置。</w:t>
      </w:r>
      <w:r>
        <w:rPr>
          <w:rFonts w:hint="eastAsia" w:ascii="仿宋_GB2312" w:hAnsi="仿宋_GB2312" w:eastAsia="仿宋_GB2312" w:cs="仿宋_GB2312"/>
          <w:color w:val="auto"/>
          <w:spacing w:val="0"/>
          <w:kern w:val="2"/>
          <w:sz w:val="32"/>
          <w:szCs w:val="32"/>
          <w:u w:val="none" w:color="auto"/>
          <w:lang w:val="en-US" w:eastAsia="zh-CN" w:bidi="ar-SA"/>
        </w:rPr>
        <w:t>合并职能相近部门，明晰权责边界，构建协同高效的行政运行体系。</w:t>
      </w:r>
      <w:r>
        <w:rPr>
          <w:rFonts w:hint="eastAsia" w:ascii="仿宋_GB2312" w:hAnsi="仿宋_GB2312" w:eastAsia="仿宋_GB2312" w:cs="仿宋_GB2312"/>
          <w:b/>
          <w:bCs/>
          <w:color w:val="auto"/>
          <w:spacing w:val="0"/>
          <w:kern w:val="2"/>
          <w:sz w:val="32"/>
          <w:szCs w:val="32"/>
          <w:u w:val="none" w:color="auto"/>
          <w:lang w:val="en-US" w:eastAsia="zh-CN" w:bidi="ar-SA"/>
        </w:rPr>
        <w:t>二是加强统筹调度。</w:t>
      </w:r>
      <w:r>
        <w:rPr>
          <w:rFonts w:hint="eastAsia" w:ascii="仿宋_GB2312" w:hAnsi="仿宋_GB2312" w:eastAsia="仿宋_GB2312" w:cs="仿宋_GB2312"/>
          <w:color w:val="auto"/>
          <w:spacing w:val="0"/>
          <w:kern w:val="2"/>
          <w:sz w:val="32"/>
          <w:szCs w:val="32"/>
          <w:u w:val="none" w:color="auto"/>
          <w:lang w:val="en-US" w:eastAsia="zh-CN" w:bidi="ar-SA"/>
        </w:rPr>
        <w:t>配齐关键岗位力量，强化综合协调与保障业务的统一管理，确保指令畅通。</w:t>
      </w:r>
      <w:r>
        <w:rPr>
          <w:rFonts w:hint="eastAsia" w:ascii="仿宋_GB2312" w:hAnsi="仿宋_GB2312" w:eastAsia="仿宋_GB2312" w:cs="仿宋_GB2312"/>
          <w:b/>
          <w:bCs/>
          <w:color w:val="auto"/>
          <w:spacing w:val="0"/>
          <w:kern w:val="2"/>
          <w:sz w:val="32"/>
          <w:szCs w:val="32"/>
          <w:u w:val="none" w:color="auto"/>
          <w:lang w:val="en-US" w:eastAsia="zh-CN" w:bidi="ar-SA"/>
        </w:rPr>
        <w:t>三是完善内部协同机制。</w:t>
      </w:r>
      <w:r>
        <w:rPr>
          <w:rFonts w:hint="eastAsia" w:ascii="仿宋_GB2312" w:hAnsi="仿宋_GB2312" w:eastAsia="仿宋_GB2312" w:cs="仿宋_GB2312"/>
          <w:color w:val="auto"/>
          <w:spacing w:val="0"/>
          <w:kern w:val="2"/>
          <w:sz w:val="32"/>
          <w:szCs w:val="32"/>
          <w:u w:val="none" w:color="auto"/>
          <w:lang w:val="en-US" w:eastAsia="zh-CN" w:bidi="ar-SA"/>
        </w:rPr>
        <w:t>建立周调度、月通报制度，依托数字化手段优化审批流程，提升跨部门办事效率。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3.抓好“学育管用”，打造高素质干部队伍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一是完善年轻干部培养链条。</w:t>
      </w:r>
      <w:r>
        <w:rPr>
          <w:rFonts w:hint="eastAsia" w:ascii="仿宋_GB2312" w:hAnsi="仿宋_GB2312" w:eastAsia="仿宋_GB2312" w:cs="仿宋_GB2312"/>
          <w:color w:val="auto"/>
          <w:spacing w:val="0"/>
          <w:kern w:val="2"/>
          <w:sz w:val="32"/>
          <w:szCs w:val="32"/>
          <w:u w:val="none" w:color="auto"/>
          <w:lang w:val="en-US" w:eastAsia="zh-CN" w:bidi="ar-SA"/>
        </w:rPr>
        <w:t>采取多岗位锻炼等形式开展定制化培养，建立优秀人才库。</w:t>
      </w:r>
      <w:r>
        <w:rPr>
          <w:rFonts w:hint="eastAsia" w:ascii="仿宋_GB2312" w:hAnsi="仿宋_GB2312" w:eastAsia="仿宋_GB2312" w:cs="仿宋_GB2312"/>
          <w:b/>
          <w:bCs/>
          <w:color w:val="auto"/>
          <w:spacing w:val="0"/>
          <w:kern w:val="2"/>
          <w:sz w:val="32"/>
          <w:szCs w:val="32"/>
          <w:u w:val="none" w:color="auto"/>
          <w:lang w:val="en-US" w:eastAsia="zh-CN" w:bidi="ar-SA"/>
        </w:rPr>
        <w:t>二是优化中层岗位配置。</w:t>
      </w:r>
      <w:r>
        <w:rPr>
          <w:rFonts w:hint="eastAsia" w:ascii="仿宋_GB2312" w:hAnsi="仿宋_GB2312" w:eastAsia="仿宋_GB2312" w:cs="仿宋_GB2312"/>
          <w:color w:val="auto"/>
          <w:spacing w:val="0"/>
          <w:kern w:val="2"/>
          <w:sz w:val="32"/>
          <w:szCs w:val="32"/>
          <w:u w:val="none" w:color="auto"/>
          <w:lang w:val="en-US" w:eastAsia="zh-CN" w:bidi="ar-SA"/>
        </w:rPr>
        <w:t>有序推进科级干部配备，合理调整人员分工，优化队伍结构。</w:t>
      </w:r>
      <w:r>
        <w:rPr>
          <w:rFonts w:hint="eastAsia" w:ascii="仿宋_GB2312" w:hAnsi="仿宋_GB2312" w:eastAsia="仿宋_GB2312" w:cs="仿宋_GB2312"/>
          <w:b/>
          <w:bCs/>
          <w:color w:val="auto"/>
          <w:spacing w:val="0"/>
          <w:kern w:val="2"/>
          <w:sz w:val="32"/>
          <w:szCs w:val="32"/>
          <w:u w:val="none" w:color="auto"/>
          <w:lang w:val="en-US" w:eastAsia="zh-CN" w:bidi="ar-SA"/>
        </w:rPr>
        <w:t>三是深化干部跟踪考察。</w:t>
      </w:r>
      <w:r>
        <w:rPr>
          <w:rFonts w:hint="eastAsia" w:ascii="仿宋_GB2312" w:hAnsi="仿宋_GB2312" w:eastAsia="仿宋_GB2312" w:cs="仿宋_GB2312"/>
          <w:color w:val="auto"/>
          <w:spacing w:val="0"/>
          <w:kern w:val="2"/>
          <w:sz w:val="32"/>
          <w:szCs w:val="32"/>
          <w:u w:val="none" w:color="auto"/>
          <w:lang w:val="en-US" w:eastAsia="zh-CN" w:bidi="ar-SA"/>
        </w:rPr>
        <w:t>通过日常轮岗与培训了解干部表现，形成储备与使用相结合的闭环。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4.规范党建党务，提升基层治理效能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一是提升党务工作标准化。</w:t>
      </w:r>
      <w:r>
        <w:rPr>
          <w:rFonts w:hint="eastAsia" w:ascii="仿宋_GB2312" w:hAnsi="仿宋_GB2312" w:eastAsia="仿宋_GB2312" w:cs="仿宋_GB2312"/>
          <w:color w:val="auto"/>
          <w:spacing w:val="0"/>
          <w:kern w:val="2"/>
          <w:sz w:val="32"/>
          <w:szCs w:val="32"/>
          <w:u w:val="none" w:color="auto"/>
          <w:lang w:val="en-US" w:eastAsia="zh-CN" w:bidi="ar-SA"/>
        </w:rPr>
        <w:t>规范会议记录管理，建立定期检查机制，强化业务人员培训。</w:t>
      </w:r>
      <w:r>
        <w:rPr>
          <w:rFonts w:hint="eastAsia" w:ascii="仿宋_GB2312" w:hAnsi="仿宋_GB2312" w:eastAsia="仿宋_GB2312" w:cs="仿宋_GB2312"/>
          <w:b/>
          <w:bCs/>
          <w:color w:val="auto"/>
          <w:spacing w:val="0"/>
          <w:kern w:val="2"/>
          <w:sz w:val="32"/>
          <w:szCs w:val="32"/>
          <w:u w:val="none" w:color="auto"/>
          <w:lang w:val="en-US" w:eastAsia="zh-CN" w:bidi="ar-SA"/>
        </w:rPr>
        <w:t>二是优化相关补贴管理。</w:t>
      </w:r>
      <w:r>
        <w:rPr>
          <w:rFonts w:hint="eastAsia" w:ascii="仿宋_GB2312" w:hAnsi="仿宋_GB2312" w:eastAsia="仿宋_GB2312" w:cs="仿宋_GB2312"/>
          <w:color w:val="auto"/>
          <w:spacing w:val="0"/>
          <w:kern w:val="2"/>
          <w:sz w:val="32"/>
          <w:szCs w:val="32"/>
          <w:u w:val="none" w:color="auto"/>
          <w:lang w:val="en-US" w:eastAsia="zh-CN" w:bidi="ar-SA"/>
        </w:rPr>
        <w:t>开展专项核查，对相关组织状态实行动态管理，完善资金发放流程。</w:t>
      </w:r>
      <w:r>
        <w:rPr>
          <w:rFonts w:hint="eastAsia" w:ascii="仿宋_GB2312" w:hAnsi="仿宋_GB2312" w:eastAsia="仿宋_GB2312" w:cs="仿宋_GB2312"/>
          <w:b/>
          <w:bCs/>
          <w:color w:val="auto"/>
          <w:spacing w:val="0"/>
          <w:kern w:val="2"/>
          <w:sz w:val="32"/>
          <w:szCs w:val="32"/>
          <w:u w:val="none" w:color="auto"/>
          <w:lang w:val="en-US" w:eastAsia="zh-CN" w:bidi="ar-SA"/>
        </w:rPr>
        <w:t>三是党建引领基层治理。</w:t>
      </w:r>
      <w:r>
        <w:rPr>
          <w:rFonts w:hint="eastAsia" w:ascii="仿宋_GB2312" w:hAnsi="仿宋_GB2312" w:eastAsia="仿宋_GB2312" w:cs="仿宋_GB2312"/>
          <w:color w:val="auto"/>
          <w:spacing w:val="0"/>
          <w:kern w:val="2"/>
          <w:sz w:val="32"/>
          <w:szCs w:val="32"/>
          <w:u w:val="none" w:color="auto"/>
          <w:lang w:val="en-US" w:eastAsia="zh-CN" w:bidi="ar-SA"/>
        </w:rPr>
        <w:t>健全多方协同机制，发布工作指引，统筹推进社区品质提升项目。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5.严肃规范党内政治生活，筑牢基层坚强战斗堡垒</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一是增强政治生活严肃性。</w:t>
      </w:r>
      <w:r>
        <w:rPr>
          <w:rFonts w:hint="eastAsia" w:ascii="仿宋_GB2312" w:hAnsi="仿宋_GB2312" w:eastAsia="仿宋_GB2312" w:cs="仿宋_GB2312"/>
          <w:color w:val="auto"/>
          <w:spacing w:val="0"/>
          <w:kern w:val="2"/>
          <w:sz w:val="32"/>
          <w:szCs w:val="32"/>
          <w:u w:val="none" w:color="auto"/>
          <w:lang w:val="en-US" w:eastAsia="zh-CN" w:bidi="ar-SA"/>
        </w:rPr>
        <w:t>规范民主生活会程序，落实谈心谈话制度，确保批评建议客观深刻。</w:t>
      </w:r>
      <w:r>
        <w:rPr>
          <w:rFonts w:hint="eastAsia" w:ascii="仿宋_GB2312" w:hAnsi="仿宋_GB2312" w:eastAsia="仿宋_GB2312" w:cs="仿宋_GB2312"/>
          <w:b/>
          <w:bCs/>
          <w:color w:val="auto"/>
          <w:spacing w:val="0"/>
          <w:kern w:val="2"/>
          <w:sz w:val="32"/>
          <w:szCs w:val="32"/>
          <w:u w:val="none" w:color="auto"/>
          <w:lang w:val="en-US" w:eastAsia="zh-CN" w:bidi="ar-SA"/>
        </w:rPr>
        <w:t>二是抓实组织生活整改。</w:t>
      </w:r>
      <w:r>
        <w:rPr>
          <w:rFonts w:hint="eastAsia" w:ascii="仿宋_GB2312" w:hAnsi="仿宋_GB2312" w:eastAsia="仿宋_GB2312" w:cs="仿宋_GB2312"/>
          <w:color w:val="auto"/>
          <w:spacing w:val="0"/>
          <w:kern w:val="2"/>
          <w:sz w:val="32"/>
          <w:szCs w:val="32"/>
          <w:u w:val="none" w:color="auto"/>
          <w:lang w:val="en-US" w:eastAsia="zh-CN" w:bidi="ar-SA"/>
        </w:rPr>
        <w:t>规范支部组织生活开展，完善档案归档，定期开展自查互查，建立问题整改台账。</w:t>
      </w:r>
      <w:r>
        <w:rPr>
          <w:rFonts w:hint="eastAsia" w:ascii="仿宋_GB2312" w:hAnsi="仿宋_GB2312" w:eastAsia="仿宋_GB2312" w:cs="仿宋_GB2312"/>
          <w:b/>
          <w:bCs/>
          <w:color w:val="auto"/>
          <w:spacing w:val="0"/>
          <w:kern w:val="2"/>
          <w:sz w:val="32"/>
          <w:szCs w:val="32"/>
          <w:u w:val="none" w:color="auto"/>
          <w:lang w:val="en-US" w:eastAsia="zh-CN" w:bidi="ar-SA"/>
        </w:rPr>
        <w:t>三是健全长效监督机制。</w:t>
      </w:r>
      <w:r>
        <w:rPr>
          <w:rFonts w:hint="eastAsia" w:ascii="仿宋_GB2312" w:hAnsi="仿宋_GB2312" w:eastAsia="仿宋_GB2312" w:cs="仿宋_GB2312"/>
          <w:color w:val="auto"/>
          <w:spacing w:val="0"/>
          <w:kern w:val="2"/>
          <w:sz w:val="32"/>
          <w:szCs w:val="32"/>
          <w:u w:val="none" w:color="auto"/>
          <w:lang w:val="en-US" w:eastAsia="zh-CN" w:bidi="ar-SA"/>
        </w:rPr>
        <w:t>制定标准化流程，将组织生活开展情况纳入考核，确保制度落实到位。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pacing w:val="0"/>
          <w:kern w:val="2"/>
          <w:sz w:val="32"/>
          <w:szCs w:val="32"/>
          <w:u w:val="none" w:color="auto"/>
          <w:lang w:val="en-US" w:eastAsia="zh-CN" w:bidi="ar-SA"/>
        </w:rPr>
      </w:pPr>
      <w:r>
        <w:rPr>
          <w:rFonts w:hint="eastAsia" w:ascii="楷体_GB2312" w:hAnsi="楷体_GB2312" w:eastAsia="楷体_GB2312" w:cs="楷体_GB2312"/>
          <w:color w:val="auto"/>
          <w:spacing w:val="0"/>
          <w:kern w:val="2"/>
          <w:sz w:val="32"/>
          <w:szCs w:val="32"/>
          <w:u w:val="none" w:color="auto"/>
          <w:lang w:val="en-US" w:eastAsia="zh-CN" w:bidi="ar-SA"/>
        </w:rPr>
        <w:t>（五）关于“一把手”履行职责、廉洁自律方面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1.谋深抓实重大战略，推动辖区高质量发展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一是提升河套服务保障水平。</w:t>
      </w:r>
      <w:r>
        <w:rPr>
          <w:rFonts w:hint="eastAsia" w:ascii="仿宋_GB2312" w:hAnsi="仿宋_GB2312" w:eastAsia="仿宋_GB2312" w:cs="仿宋_GB2312"/>
          <w:color w:val="auto"/>
          <w:spacing w:val="0"/>
          <w:kern w:val="2"/>
          <w:sz w:val="32"/>
          <w:szCs w:val="32"/>
          <w:u w:val="none" w:color="auto"/>
          <w:lang w:val="en-US" w:eastAsia="zh-CN" w:bidi="ar-SA"/>
        </w:rPr>
        <w:t>拓展高水平科研空间，助力优质载体落地。优化人才服务保障机制，提升区域创新活力。</w:t>
      </w:r>
      <w:r>
        <w:rPr>
          <w:rFonts w:hint="eastAsia" w:ascii="仿宋_GB2312" w:hAnsi="仿宋_GB2312" w:eastAsia="仿宋_GB2312" w:cs="仿宋_GB2312"/>
          <w:b/>
          <w:bCs/>
          <w:color w:val="auto"/>
          <w:spacing w:val="0"/>
          <w:kern w:val="2"/>
          <w:sz w:val="32"/>
          <w:szCs w:val="32"/>
          <w:u w:val="none" w:color="auto"/>
          <w:lang w:val="en-US" w:eastAsia="zh-CN" w:bidi="ar-SA"/>
        </w:rPr>
        <w:t>二是深入推进基层重点工程。</w:t>
      </w:r>
      <w:r>
        <w:rPr>
          <w:rFonts w:hint="eastAsia" w:ascii="仿宋_GB2312" w:hAnsi="仿宋_GB2312" w:eastAsia="仿宋_GB2312" w:cs="仿宋_GB2312"/>
          <w:color w:val="auto"/>
          <w:spacing w:val="0"/>
          <w:kern w:val="2"/>
          <w:sz w:val="32"/>
          <w:szCs w:val="32"/>
          <w:u w:val="none" w:color="auto"/>
          <w:lang w:val="en-US" w:eastAsia="zh-CN" w:bidi="ar-SA"/>
        </w:rPr>
        <w:t>优化“一老一小”服务体系，打造普惠性民生品牌。完善新就业群体保障，提升党群阵地服务效能，月均服务人次稳居前列。</w:t>
      </w:r>
      <w:r>
        <w:rPr>
          <w:rFonts w:hint="eastAsia" w:ascii="仿宋_GB2312" w:hAnsi="仿宋_GB2312" w:eastAsia="仿宋_GB2312" w:cs="仿宋_GB2312"/>
          <w:b/>
          <w:bCs/>
          <w:color w:val="auto"/>
          <w:spacing w:val="0"/>
          <w:kern w:val="2"/>
          <w:sz w:val="32"/>
          <w:szCs w:val="32"/>
          <w:u w:val="none" w:color="auto"/>
          <w:lang w:val="en-US" w:eastAsia="zh-CN" w:bidi="ar-SA"/>
        </w:rPr>
        <w:t>三是推进全域治理深化行动。</w:t>
      </w:r>
      <w:r>
        <w:rPr>
          <w:rFonts w:hint="eastAsia" w:ascii="仿宋_GB2312" w:hAnsi="仿宋_GB2312" w:eastAsia="仿宋_GB2312" w:cs="仿宋_GB2312"/>
          <w:color w:val="auto"/>
          <w:spacing w:val="0"/>
          <w:kern w:val="2"/>
          <w:sz w:val="32"/>
          <w:szCs w:val="32"/>
          <w:u w:val="none" w:color="auto"/>
          <w:lang w:val="en-US" w:eastAsia="zh-CN" w:bidi="ar-SA"/>
        </w:rPr>
        <w:t>推广协同治理模式，提升小区事务办结率。应用智能化手段赋能网格治理，保持辖区环境测评领先。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2.扛牢管党治党政治责任，纵深推进正风肃纪反腐</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一是深化重点领域风险防控。</w:t>
      </w:r>
      <w:r>
        <w:rPr>
          <w:rFonts w:hint="eastAsia" w:ascii="仿宋_GB2312" w:hAnsi="仿宋_GB2312" w:eastAsia="仿宋_GB2312" w:cs="仿宋_GB2312"/>
          <w:color w:val="auto"/>
          <w:spacing w:val="0"/>
          <w:kern w:val="2"/>
          <w:sz w:val="32"/>
          <w:szCs w:val="32"/>
          <w:u w:val="none" w:color="auto"/>
          <w:lang w:val="en-US" w:eastAsia="zh-CN" w:bidi="ar-SA"/>
        </w:rPr>
        <w:t>聚焦采购、工程等关键环节，通过提醒谈话、制度修订等方式，从源头封堵管理漏洞。</w:t>
      </w:r>
      <w:r>
        <w:rPr>
          <w:rFonts w:hint="eastAsia" w:ascii="仿宋_GB2312" w:hAnsi="仿宋_GB2312" w:eastAsia="仿宋_GB2312" w:cs="仿宋_GB2312"/>
          <w:b/>
          <w:bCs/>
          <w:color w:val="auto"/>
          <w:spacing w:val="0"/>
          <w:kern w:val="2"/>
          <w:sz w:val="32"/>
          <w:szCs w:val="32"/>
          <w:u w:val="none" w:color="auto"/>
          <w:lang w:val="en-US" w:eastAsia="zh-CN" w:bidi="ar-SA"/>
        </w:rPr>
        <w:t>二是抓实集体经济监管。</w:t>
      </w:r>
      <w:r>
        <w:rPr>
          <w:rFonts w:hint="eastAsia" w:ascii="仿宋_GB2312" w:hAnsi="仿宋_GB2312" w:eastAsia="仿宋_GB2312" w:cs="仿宋_GB2312"/>
          <w:color w:val="auto"/>
          <w:spacing w:val="0"/>
          <w:kern w:val="2"/>
          <w:sz w:val="32"/>
          <w:szCs w:val="32"/>
          <w:u w:val="none" w:color="auto"/>
          <w:lang w:val="en-US" w:eastAsia="zh-CN" w:bidi="ar-SA"/>
        </w:rPr>
        <w:t>督导股份公司健全内控制度，规范决策议事流程，以整改实效护航集体经济健康发展。</w:t>
      </w:r>
      <w:r>
        <w:rPr>
          <w:rFonts w:hint="eastAsia" w:ascii="仿宋_GB2312" w:hAnsi="仿宋_GB2312" w:eastAsia="仿宋_GB2312" w:cs="仿宋_GB2312"/>
          <w:b/>
          <w:bCs/>
          <w:color w:val="auto"/>
          <w:spacing w:val="0"/>
          <w:kern w:val="2"/>
          <w:sz w:val="32"/>
          <w:szCs w:val="32"/>
          <w:u w:val="none" w:color="auto"/>
          <w:lang w:val="en-US" w:eastAsia="zh-CN" w:bidi="ar-SA"/>
        </w:rPr>
        <w:t>三是常态化压实廉政责任。</w:t>
      </w:r>
      <w:r>
        <w:rPr>
          <w:rFonts w:hint="eastAsia" w:ascii="仿宋_GB2312" w:hAnsi="仿宋_GB2312" w:eastAsia="仿宋_GB2312" w:cs="仿宋_GB2312"/>
          <w:color w:val="auto"/>
          <w:spacing w:val="0"/>
          <w:kern w:val="2"/>
          <w:sz w:val="32"/>
          <w:szCs w:val="32"/>
          <w:u w:val="none" w:color="auto"/>
          <w:lang w:val="en-US" w:eastAsia="zh-CN" w:bidi="ar-SA"/>
        </w:rPr>
        <w:t>健全三级廉政责任机制，定期研究党风廉政工作，推动“一岗双责”落实到底。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color w:val="auto"/>
          <w:spacing w:val="0"/>
          <w:kern w:val="2"/>
          <w:sz w:val="32"/>
          <w:szCs w:val="32"/>
          <w:u w:val="none" w:color="auto"/>
          <w:lang w:val="en-US" w:eastAsia="zh-CN" w:bidi="ar-SA"/>
        </w:rPr>
        <w:t>3.建强基层战斗堡垒，提升党建引领基层治理效能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kern w:val="2"/>
          <w:sz w:val="32"/>
          <w:szCs w:val="32"/>
          <w:u w:val="none" w:color="auto"/>
          <w:lang w:val="en-US" w:eastAsia="zh-CN" w:bidi="ar-SA"/>
        </w:rPr>
      </w:pPr>
      <w:r>
        <w:rPr>
          <w:rFonts w:hint="eastAsia" w:ascii="仿宋_GB2312" w:hAnsi="仿宋_GB2312" w:eastAsia="仿宋_GB2312" w:cs="仿宋_GB2312"/>
          <w:b/>
          <w:bCs/>
          <w:color w:val="auto"/>
          <w:spacing w:val="0"/>
          <w:kern w:val="2"/>
          <w:sz w:val="32"/>
          <w:szCs w:val="32"/>
          <w:u w:val="none" w:color="auto"/>
          <w:lang w:val="en-US" w:eastAsia="zh-CN" w:bidi="ar-SA"/>
        </w:rPr>
        <w:t>一是推动理论学习机制化。</w:t>
      </w:r>
      <w:r>
        <w:rPr>
          <w:rFonts w:hint="eastAsia" w:ascii="仿宋_GB2312" w:hAnsi="仿宋_GB2312" w:eastAsia="仿宋_GB2312" w:cs="仿宋_GB2312"/>
          <w:color w:val="auto"/>
          <w:spacing w:val="0"/>
          <w:kern w:val="2"/>
          <w:sz w:val="32"/>
          <w:szCs w:val="32"/>
          <w:u w:val="none" w:color="auto"/>
          <w:lang w:val="en-US" w:eastAsia="zh-CN" w:bidi="ar-SA"/>
        </w:rPr>
        <w:t>建立“第一议题”闭环管理，将重点工作纳入督办清单，确保责任落实。</w:t>
      </w:r>
      <w:r>
        <w:rPr>
          <w:rFonts w:hint="eastAsia" w:ascii="仿宋_GB2312" w:hAnsi="仿宋_GB2312" w:eastAsia="仿宋_GB2312" w:cs="仿宋_GB2312"/>
          <w:b/>
          <w:bCs/>
          <w:color w:val="auto"/>
          <w:spacing w:val="0"/>
          <w:kern w:val="2"/>
          <w:sz w:val="32"/>
          <w:szCs w:val="32"/>
          <w:u w:val="none" w:color="auto"/>
          <w:lang w:val="en-US" w:eastAsia="zh-CN" w:bidi="ar-SA"/>
        </w:rPr>
        <w:t>二是推动管理运行集约化。</w:t>
      </w:r>
      <w:r>
        <w:rPr>
          <w:rFonts w:hint="eastAsia" w:ascii="仿宋_GB2312" w:hAnsi="仿宋_GB2312" w:eastAsia="仿宋_GB2312" w:cs="仿宋_GB2312"/>
          <w:color w:val="auto"/>
          <w:spacing w:val="0"/>
          <w:kern w:val="2"/>
          <w:sz w:val="32"/>
          <w:szCs w:val="32"/>
          <w:u w:val="none" w:color="auto"/>
          <w:lang w:val="en-US" w:eastAsia="zh-CN" w:bidi="ar-SA"/>
        </w:rPr>
        <w:t>优化部门架构，通过职能整合提升整体运行效率与协同能力。</w:t>
      </w:r>
      <w:r>
        <w:rPr>
          <w:rFonts w:hint="eastAsia" w:ascii="仿宋_GB2312" w:hAnsi="仿宋_GB2312" w:eastAsia="仿宋_GB2312" w:cs="仿宋_GB2312"/>
          <w:b/>
          <w:bCs/>
          <w:color w:val="auto"/>
          <w:spacing w:val="0"/>
          <w:kern w:val="2"/>
          <w:sz w:val="32"/>
          <w:szCs w:val="32"/>
          <w:u w:val="none" w:color="auto"/>
          <w:lang w:val="en-US" w:eastAsia="zh-CN" w:bidi="ar-SA"/>
        </w:rPr>
        <w:t>三是推动基层治理品牌化。</w:t>
      </w:r>
      <w:r>
        <w:rPr>
          <w:rFonts w:hint="eastAsia" w:ascii="仿宋_GB2312" w:hAnsi="仿宋_GB2312" w:eastAsia="仿宋_GB2312" w:cs="仿宋_GB2312"/>
          <w:color w:val="auto"/>
          <w:spacing w:val="0"/>
          <w:kern w:val="2"/>
          <w:sz w:val="32"/>
          <w:szCs w:val="32"/>
          <w:u w:val="none" w:color="auto"/>
          <w:lang w:val="en-US" w:eastAsia="zh-CN" w:bidi="ar-SA"/>
        </w:rPr>
        <w:t>推行小区协商机制，解决大量民生实事项目，提升基层治理现代化水平。</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color w:val="auto"/>
          <w:spacing w:val="0"/>
          <w:kern w:val="2"/>
          <w:sz w:val="32"/>
          <w:szCs w:val="32"/>
          <w:u w:val="none" w:color="auto"/>
          <w:lang w:val="en-US" w:eastAsia="zh-CN" w:bidi="ar-SA"/>
        </w:rPr>
      </w:pPr>
      <w:r>
        <w:rPr>
          <w:rFonts w:hint="eastAsia" w:ascii="黑体" w:hAnsi="黑体" w:eastAsia="黑体" w:cs="黑体"/>
          <w:color w:val="auto"/>
          <w:spacing w:val="0"/>
          <w:kern w:val="2"/>
          <w:sz w:val="32"/>
          <w:szCs w:val="32"/>
          <w:u w:val="none" w:color="auto"/>
          <w:lang w:val="en-US" w:eastAsia="zh-CN" w:bidi="ar-SA"/>
        </w:rPr>
        <w:t>三、下一步整改工作安排</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pacing w:val="0"/>
          <w:kern w:val="2"/>
          <w:sz w:val="32"/>
          <w:szCs w:val="32"/>
          <w:u w:val="none" w:color="auto"/>
          <w:lang w:val="en-US" w:eastAsia="zh-CN" w:bidi="ar-SA"/>
        </w:rPr>
      </w:pPr>
      <w:r>
        <w:rPr>
          <w:rFonts w:hint="eastAsia" w:ascii="楷体_GB2312" w:hAnsi="楷体_GB2312" w:eastAsia="楷体_GB2312" w:cs="楷体_GB2312"/>
          <w:b w:val="0"/>
          <w:bCs w:val="0"/>
          <w:color w:val="auto"/>
          <w:spacing w:val="0"/>
          <w:kern w:val="2"/>
          <w:sz w:val="32"/>
          <w:szCs w:val="32"/>
          <w:u w:val="none" w:color="auto"/>
          <w:lang w:val="en-US" w:eastAsia="zh-CN" w:bidi="ar-SA"/>
        </w:rPr>
        <w:t>提高政治站位，坚决扛牢整改责任。</w:t>
      </w:r>
      <w:r>
        <w:rPr>
          <w:rFonts w:hint="eastAsia" w:ascii="仿宋_GB2312" w:hAnsi="仿宋_GB2312" w:eastAsia="仿宋_GB2312" w:cs="仿宋_GB2312"/>
          <w:b w:val="0"/>
          <w:bCs w:val="0"/>
          <w:color w:val="auto"/>
          <w:spacing w:val="0"/>
          <w:kern w:val="2"/>
          <w:sz w:val="32"/>
          <w:szCs w:val="32"/>
          <w:u w:val="none" w:color="auto"/>
          <w:lang w:val="en-US" w:eastAsia="zh-CN" w:bidi="ar-SA"/>
        </w:rPr>
        <w:t>始终将巡察整改作为重大政治任务，坚持从思想根源剖析问题，做到真改实改、一抓到底，确保整改工作见底见效。持续强化组织领导，定期研究整改中的难点问题，主要负责人带头督办，确保责任不松懈、标准不降低。</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pacing w:val="0"/>
          <w:kern w:val="2"/>
          <w:sz w:val="32"/>
          <w:szCs w:val="32"/>
          <w:u w:val="none" w:color="auto"/>
          <w:lang w:val="en-US" w:eastAsia="zh-CN" w:bidi="ar-SA"/>
        </w:rPr>
      </w:pPr>
      <w:r>
        <w:rPr>
          <w:rFonts w:hint="eastAsia" w:ascii="楷体_GB2312" w:hAnsi="楷体_GB2312" w:eastAsia="楷体_GB2312" w:cs="楷体_GB2312"/>
          <w:b w:val="0"/>
          <w:bCs w:val="0"/>
          <w:color w:val="auto"/>
          <w:spacing w:val="0"/>
          <w:kern w:val="2"/>
          <w:sz w:val="32"/>
          <w:szCs w:val="32"/>
          <w:u w:val="none" w:color="auto"/>
          <w:lang w:val="en-US" w:eastAsia="zh-CN" w:bidi="ar-SA"/>
        </w:rPr>
        <w:t>健全长效机制，压紧压实整改链条。</w:t>
      </w:r>
      <w:r>
        <w:rPr>
          <w:rFonts w:hint="eastAsia" w:ascii="仿宋_GB2312" w:hAnsi="仿宋_GB2312" w:eastAsia="仿宋_GB2312" w:cs="仿宋_GB2312"/>
          <w:b w:val="0"/>
          <w:bCs w:val="0"/>
          <w:color w:val="auto"/>
          <w:spacing w:val="0"/>
          <w:kern w:val="2"/>
          <w:sz w:val="32"/>
          <w:szCs w:val="32"/>
          <w:u w:val="none" w:color="auto"/>
          <w:lang w:val="en-US" w:eastAsia="zh-CN" w:bidi="ar-SA"/>
        </w:rPr>
        <w:t>建立统筹协调、督查督办和“回头看”机制，对长期整改事项明确责任人与推进路径，定期通报进展，对整改不彻底的坚决“回炉补课”，形成闭环管理。注重举一反三，将整改中形成的有效做法固化为制度规范，推动从“治标”向“治本”转变。</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pacing w:val="0"/>
          <w:kern w:val="2"/>
          <w:sz w:val="32"/>
          <w:szCs w:val="32"/>
          <w:u w:val="none" w:color="auto"/>
          <w:lang w:val="en-US" w:eastAsia="zh-CN" w:bidi="ar-SA"/>
        </w:rPr>
      </w:pPr>
      <w:r>
        <w:rPr>
          <w:rFonts w:hint="eastAsia" w:ascii="楷体_GB2312" w:hAnsi="楷体_GB2312" w:eastAsia="楷体_GB2312" w:cs="楷体_GB2312"/>
          <w:b w:val="0"/>
          <w:bCs w:val="0"/>
          <w:color w:val="auto"/>
          <w:spacing w:val="0"/>
          <w:kern w:val="2"/>
          <w:sz w:val="32"/>
          <w:szCs w:val="32"/>
          <w:u w:val="none" w:color="auto"/>
          <w:lang w:val="en-US" w:eastAsia="zh-CN" w:bidi="ar-SA"/>
        </w:rPr>
        <w:t>聚焦重点难点，持续攻坚清仓见底。</w:t>
      </w:r>
      <w:r>
        <w:rPr>
          <w:rFonts w:hint="eastAsia" w:ascii="仿宋_GB2312" w:hAnsi="仿宋_GB2312" w:eastAsia="仿宋_GB2312" w:cs="仿宋_GB2312"/>
          <w:b w:val="0"/>
          <w:bCs w:val="0"/>
          <w:color w:val="auto"/>
          <w:spacing w:val="0"/>
          <w:kern w:val="2"/>
          <w:sz w:val="32"/>
          <w:szCs w:val="32"/>
          <w:u w:val="none" w:color="auto"/>
          <w:lang w:val="en-US" w:eastAsia="zh-CN" w:bidi="ar-SA"/>
        </w:rPr>
        <w:t>围绕查违协作、房中房整治、物业矛盾化解、劳资风险防范等难点，强化部门联动与精准施策，综合运用多种措施，确保存量问题清底、增量问题遏制。对群众反映强烈的领域，加大下沉调研和现场协调力度，做到问题不解决不松手、成效不明显不收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u w:val="none" w:color="auto"/>
        </w:rPr>
      </w:pPr>
      <w:r>
        <w:rPr>
          <w:rFonts w:hint="eastAsia" w:ascii="楷体_GB2312" w:hAnsi="楷体_GB2312" w:eastAsia="楷体_GB2312" w:cs="楷体_GB2312"/>
          <w:b w:val="0"/>
          <w:bCs w:val="0"/>
          <w:color w:val="auto"/>
          <w:spacing w:val="0"/>
          <w:kern w:val="2"/>
          <w:sz w:val="32"/>
          <w:szCs w:val="32"/>
          <w:u w:val="none" w:color="auto"/>
          <w:lang w:val="en-US" w:eastAsia="zh-CN" w:bidi="ar-SA"/>
        </w:rPr>
        <w:t>（四）深化成果运用，推动整改标本兼治。</w:t>
      </w:r>
      <w:r>
        <w:rPr>
          <w:rFonts w:hint="eastAsia" w:ascii="仿宋_GB2312" w:hAnsi="仿宋_GB2312" w:eastAsia="仿宋_GB2312" w:cs="仿宋_GB2312"/>
          <w:b w:val="0"/>
          <w:bCs w:val="0"/>
          <w:color w:val="auto"/>
          <w:spacing w:val="0"/>
          <w:kern w:val="2"/>
          <w:sz w:val="32"/>
          <w:szCs w:val="32"/>
          <w:u w:val="none" w:color="auto"/>
          <w:lang w:val="en-US" w:eastAsia="zh-CN" w:bidi="ar-SA"/>
        </w:rPr>
        <w:t>坚持举一反三，深挖问题根源，以点带面完善制度体系；强化制度执行监督，将整改与中心工作深度融合，以整改促发展，确保成效可持续、可检验。同时，及时总结整改经验，主动接受群众监督，以实际成效提升辖区治理水平和群众满意度。</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color w:val="auto"/>
          <w:spacing w:val="0"/>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pacing w:val="0"/>
          <w:sz w:val="32"/>
          <w:szCs w:val="32"/>
          <w:u w:val="none" w:color="auto"/>
          <w:lang w:eastAsia="zh-CN"/>
        </w:rPr>
      </w:pPr>
      <w:r>
        <w:rPr>
          <w:rFonts w:hint="eastAsia" w:ascii="仿宋_GB2312" w:hAnsi="仿宋_GB2312" w:eastAsia="仿宋_GB2312" w:cs="仿宋_GB2312"/>
          <w:color w:val="auto"/>
          <w:spacing w:val="0"/>
          <w:sz w:val="32"/>
          <w:szCs w:val="32"/>
          <w:u w:val="none" w:color="auto"/>
        </w:rPr>
        <w:t>中共</w:t>
      </w:r>
      <w:r>
        <w:rPr>
          <w:rFonts w:hint="eastAsia" w:ascii="仿宋_GB2312" w:hAnsi="仿宋_GB2312" w:eastAsia="仿宋_GB2312" w:cs="仿宋_GB2312"/>
          <w:color w:val="auto"/>
          <w:spacing w:val="0"/>
          <w:sz w:val="32"/>
          <w:szCs w:val="32"/>
          <w:u w:val="none" w:color="auto"/>
          <w:lang w:eastAsia="zh-CN"/>
        </w:rPr>
        <w:t>深圳市</w:t>
      </w:r>
      <w:r>
        <w:rPr>
          <w:rFonts w:hint="eastAsia" w:ascii="仿宋_GB2312" w:hAnsi="仿宋_GB2312" w:eastAsia="仿宋_GB2312" w:cs="仿宋_GB2312"/>
          <w:color w:val="auto"/>
          <w:spacing w:val="0"/>
          <w:sz w:val="32"/>
          <w:szCs w:val="32"/>
          <w:u w:val="none" w:color="auto"/>
          <w:lang w:val="en-US" w:eastAsia="zh-CN"/>
        </w:rPr>
        <w:t>福田区福保街道工作委员会</w:t>
      </w:r>
    </w:p>
    <w:p>
      <w:pPr>
        <w:pStyle w:val="6"/>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r>
        <w:rPr>
          <w:rFonts w:hint="eastAsia" w:ascii="仿宋_GB2312" w:hAnsi="仿宋_GB2312" w:eastAsia="仿宋_GB2312" w:cs="仿宋_GB2312"/>
          <w:color w:val="auto"/>
          <w:spacing w:val="0"/>
          <w:sz w:val="32"/>
          <w:szCs w:val="32"/>
          <w:u w:val="none" w:color="auto"/>
        </w:rPr>
        <w:t xml:space="preserve">                             </w:t>
      </w:r>
      <w:r>
        <w:rPr>
          <w:rFonts w:hint="eastAsia" w:ascii="仿宋_GB2312" w:hAnsi="仿宋_GB2312" w:eastAsia="仿宋_GB2312" w:cs="仿宋_GB2312"/>
          <w:b w:val="0"/>
          <w:i w:val="0"/>
          <w:color w:val="auto"/>
          <w:spacing w:val="0"/>
          <w:sz w:val="32"/>
          <w:szCs w:val="32"/>
          <w:u w:val="none" w:color="auto"/>
          <w:lang w:val="en-US" w:eastAsia="zh-CN"/>
        </w:rPr>
        <w:t>2026</w:t>
      </w:r>
      <w:r>
        <w:rPr>
          <w:rFonts w:hint="eastAsia" w:ascii="仿宋_GB2312" w:hAnsi="仿宋_GB2312" w:eastAsia="仿宋_GB2312" w:cs="仿宋_GB2312"/>
          <w:color w:val="auto"/>
          <w:spacing w:val="0"/>
          <w:sz w:val="32"/>
          <w:szCs w:val="32"/>
          <w:u w:val="none" w:color="auto"/>
        </w:rPr>
        <w:t>年</w:t>
      </w:r>
      <w:r>
        <w:rPr>
          <w:rFonts w:hint="eastAsia" w:ascii="仿宋_GB2312" w:hAnsi="仿宋_GB2312" w:eastAsia="仿宋_GB2312" w:cs="仿宋_GB2312"/>
          <w:color w:val="auto"/>
          <w:spacing w:val="0"/>
          <w:sz w:val="32"/>
          <w:szCs w:val="32"/>
          <w:u w:val="none" w:color="auto"/>
          <w:lang w:val="en-US" w:eastAsia="zh-CN"/>
        </w:rPr>
        <w:t>4</w:t>
      </w:r>
      <w:r>
        <w:rPr>
          <w:rFonts w:hint="eastAsia" w:ascii="仿宋_GB2312" w:hAnsi="仿宋_GB2312" w:eastAsia="仿宋_GB2312" w:cs="仿宋_GB2312"/>
          <w:color w:val="auto"/>
          <w:spacing w:val="0"/>
          <w:sz w:val="32"/>
          <w:szCs w:val="32"/>
          <w:u w:val="none" w:color="auto"/>
        </w:rPr>
        <w:t>月</w:t>
      </w:r>
      <w:r>
        <w:rPr>
          <w:rFonts w:hint="eastAsia" w:ascii="仿宋_GB2312" w:hAnsi="仿宋_GB2312" w:eastAsia="仿宋_GB2312" w:cs="仿宋_GB2312"/>
          <w:color w:val="auto"/>
          <w:spacing w:val="0"/>
          <w:sz w:val="32"/>
          <w:szCs w:val="32"/>
          <w:u w:val="none" w:color="auto"/>
          <w:lang w:val="en-US" w:eastAsia="zh-CN"/>
        </w:rPr>
        <w:t>28</w:t>
      </w:r>
      <w:r>
        <w:rPr>
          <w:rFonts w:hint="eastAsia" w:ascii="仿宋_GB2312" w:hAnsi="仿宋_GB2312" w:eastAsia="仿宋_GB2312" w:cs="仿宋_GB2312"/>
          <w:color w:val="auto"/>
          <w:spacing w:val="0"/>
          <w:sz w:val="32"/>
          <w:szCs w:val="32"/>
          <w:u w:val="none" w:color="auto"/>
        </w:rPr>
        <w:t>日</w:t>
      </w:r>
    </w:p>
    <w:sectPr>
      <w:footerReference r:id="rId3" w:type="default"/>
      <w:pgSz w:w="11906" w:h="16838"/>
      <w:pgMar w:top="1361" w:right="1361" w:bottom="1361" w:left="1361"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36"/>
        <w:tab w:val="center" w:pos="4652"/>
      </w:tabs>
      <w:jc w:val="left"/>
      <w:rPr>
        <w:rFonts w:hint="eastAsia"/>
        <w:sz w:val="24"/>
        <w:szCs w:val="24"/>
        <w:lang w:eastAsia="zh-CN"/>
      </w:rPr>
    </w:pPr>
    <w:r>
      <w:rPr>
        <w:rFonts w:hint="eastAsia"/>
        <w:sz w:val="24"/>
        <w:szCs w:val="24"/>
        <w:lang w:eastAsia="zh-CN"/>
      </w:rPr>
      <w:tab/>
    </w:r>
  </w:p>
  <w:p>
    <w:pPr>
      <w:pStyle w:val="11"/>
      <w:tabs>
        <w:tab w:val="left" w:pos="436"/>
        <w:tab w:val="center" w:pos="4652"/>
      </w:tabs>
      <w:jc w:val="left"/>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lV4Lo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sz w:val="24"/>
        <w:szCs w:val="24"/>
        <w:lang w:eastAsia="zh-CN"/>
      </w:rPr>
      <w:tab/>
    </w:r>
    <w:r>
      <w:rPr>
        <w:rFonts w:hint="eastAsia"/>
        <w:sz w:val="24"/>
        <w:szCs w:val="24"/>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46A08"/>
    <w:multiLevelType w:val="singleLevel"/>
    <w:tmpl w:val="8B646A08"/>
    <w:lvl w:ilvl="0" w:tentative="0">
      <w:start w:val="2"/>
      <w:numFmt w:val="chineseCounting"/>
      <w:suff w:val="nothing"/>
      <w:lvlText w:val="（%1）"/>
      <w:lvlJc w:val="left"/>
      <w:rPr>
        <w:rFonts w:hint="eastAsia"/>
      </w:rPr>
    </w:lvl>
  </w:abstractNum>
  <w:abstractNum w:abstractNumId="1">
    <w:nsid w:val="F4404471"/>
    <w:multiLevelType w:val="singleLevel"/>
    <w:tmpl w:val="F4404471"/>
    <w:lvl w:ilvl="0" w:tentative="0">
      <w:start w:val="1"/>
      <w:numFmt w:val="chineseCounting"/>
      <w:suff w:val="nothing"/>
      <w:lvlText w:val="%1、"/>
      <w:lvlJc w:val="left"/>
      <w:rPr>
        <w:rFonts w:hint="eastAsia"/>
      </w:rPr>
    </w:lvl>
  </w:abstractNum>
  <w:abstractNum w:abstractNumId="2">
    <w:nsid w:val="151A3839"/>
    <w:multiLevelType w:val="singleLevel"/>
    <w:tmpl w:val="151A383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OTdiMjQwODRiNWZjNDUwMDRiMGY2OTU5MmFhYzIifQ=="/>
  </w:docVars>
  <w:rsids>
    <w:rsidRoot w:val="00003D0F"/>
    <w:rsid w:val="00003D0F"/>
    <w:rsid w:val="001E5A99"/>
    <w:rsid w:val="002D4540"/>
    <w:rsid w:val="003B56A7"/>
    <w:rsid w:val="00B82E69"/>
    <w:rsid w:val="01027B1A"/>
    <w:rsid w:val="01EC73B3"/>
    <w:rsid w:val="021E259E"/>
    <w:rsid w:val="023657D9"/>
    <w:rsid w:val="039970AE"/>
    <w:rsid w:val="03A762C0"/>
    <w:rsid w:val="03B6128F"/>
    <w:rsid w:val="04B515DB"/>
    <w:rsid w:val="04FF249E"/>
    <w:rsid w:val="0503742A"/>
    <w:rsid w:val="0617220C"/>
    <w:rsid w:val="06511324"/>
    <w:rsid w:val="065E100E"/>
    <w:rsid w:val="06A134D2"/>
    <w:rsid w:val="06F908B8"/>
    <w:rsid w:val="076F5AC2"/>
    <w:rsid w:val="07F93F52"/>
    <w:rsid w:val="08235209"/>
    <w:rsid w:val="090360D7"/>
    <w:rsid w:val="09224535"/>
    <w:rsid w:val="094E406E"/>
    <w:rsid w:val="09916FE1"/>
    <w:rsid w:val="09C44AB1"/>
    <w:rsid w:val="0A425498"/>
    <w:rsid w:val="0AFF120D"/>
    <w:rsid w:val="0BC52883"/>
    <w:rsid w:val="0C060224"/>
    <w:rsid w:val="0D1264E6"/>
    <w:rsid w:val="0D7C5AB2"/>
    <w:rsid w:val="0DCE0CE2"/>
    <w:rsid w:val="0E941BC3"/>
    <w:rsid w:val="0EAB39D3"/>
    <w:rsid w:val="0EB3632D"/>
    <w:rsid w:val="0FAC3858"/>
    <w:rsid w:val="0FEFAF80"/>
    <w:rsid w:val="0FF5B168"/>
    <w:rsid w:val="10546893"/>
    <w:rsid w:val="106A2F31"/>
    <w:rsid w:val="10A84F43"/>
    <w:rsid w:val="10DD4CB4"/>
    <w:rsid w:val="11B0488C"/>
    <w:rsid w:val="11D121EE"/>
    <w:rsid w:val="1272616C"/>
    <w:rsid w:val="129E48DD"/>
    <w:rsid w:val="134F0CB9"/>
    <w:rsid w:val="1501722D"/>
    <w:rsid w:val="15DC31C6"/>
    <w:rsid w:val="167A7A65"/>
    <w:rsid w:val="16D641EE"/>
    <w:rsid w:val="16EE53AA"/>
    <w:rsid w:val="179B4EF6"/>
    <w:rsid w:val="17B97903"/>
    <w:rsid w:val="17BC7C5E"/>
    <w:rsid w:val="17CF1D4D"/>
    <w:rsid w:val="17E2037A"/>
    <w:rsid w:val="17E71E37"/>
    <w:rsid w:val="188A24C1"/>
    <w:rsid w:val="18C86E06"/>
    <w:rsid w:val="18CF478D"/>
    <w:rsid w:val="18F42D37"/>
    <w:rsid w:val="19013DE8"/>
    <w:rsid w:val="192432CE"/>
    <w:rsid w:val="19663D38"/>
    <w:rsid w:val="19766B96"/>
    <w:rsid w:val="1A044603"/>
    <w:rsid w:val="1A9469A8"/>
    <w:rsid w:val="1ABA3203"/>
    <w:rsid w:val="1AD66518"/>
    <w:rsid w:val="1AE709B1"/>
    <w:rsid w:val="1B900382"/>
    <w:rsid w:val="1BBF2926"/>
    <w:rsid w:val="1BEB2935"/>
    <w:rsid w:val="1C4C1CA3"/>
    <w:rsid w:val="1D3771F6"/>
    <w:rsid w:val="1D841230"/>
    <w:rsid w:val="1D8C3178"/>
    <w:rsid w:val="1DED5640"/>
    <w:rsid w:val="1EE3000C"/>
    <w:rsid w:val="1EFD548A"/>
    <w:rsid w:val="1F96ADF0"/>
    <w:rsid w:val="1FD241B6"/>
    <w:rsid w:val="1FFF8579"/>
    <w:rsid w:val="1FFFED54"/>
    <w:rsid w:val="20074C39"/>
    <w:rsid w:val="201A5A5E"/>
    <w:rsid w:val="204522E8"/>
    <w:rsid w:val="204F4E6C"/>
    <w:rsid w:val="218913D0"/>
    <w:rsid w:val="225D7FCF"/>
    <w:rsid w:val="22C626C9"/>
    <w:rsid w:val="22C64379"/>
    <w:rsid w:val="238179BB"/>
    <w:rsid w:val="23A71130"/>
    <w:rsid w:val="23C4333D"/>
    <w:rsid w:val="23EC542D"/>
    <w:rsid w:val="24024583"/>
    <w:rsid w:val="243906F0"/>
    <w:rsid w:val="24821476"/>
    <w:rsid w:val="248A26F6"/>
    <w:rsid w:val="252D720D"/>
    <w:rsid w:val="264454D9"/>
    <w:rsid w:val="271F4125"/>
    <w:rsid w:val="273029F6"/>
    <w:rsid w:val="273D66F7"/>
    <w:rsid w:val="27F78EFB"/>
    <w:rsid w:val="283A0FB8"/>
    <w:rsid w:val="28A2323B"/>
    <w:rsid w:val="28D07998"/>
    <w:rsid w:val="29A46C7B"/>
    <w:rsid w:val="29F19052"/>
    <w:rsid w:val="2AAD5125"/>
    <w:rsid w:val="2AC94BAA"/>
    <w:rsid w:val="2AED23DD"/>
    <w:rsid w:val="2B1B1555"/>
    <w:rsid w:val="2B475AA8"/>
    <w:rsid w:val="2BDE65AE"/>
    <w:rsid w:val="2C281672"/>
    <w:rsid w:val="2CB73797"/>
    <w:rsid w:val="2D5D3D1E"/>
    <w:rsid w:val="2EC16C35"/>
    <w:rsid w:val="2F5FB48C"/>
    <w:rsid w:val="2FDDDAEB"/>
    <w:rsid w:val="2FED4468"/>
    <w:rsid w:val="2FEFD4B9"/>
    <w:rsid w:val="307B1068"/>
    <w:rsid w:val="308D03BF"/>
    <w:rsid w:val="312C765E"/>
    <w:rsid w:val="316A3471"/>
    <w:rsid w:val="33FE1F39"/>
    <w:rsid w:val="35177776"/>
    <w:rsid w:val="353918B7"/>
    <w:rsid w:val="365F3EF3"/>
    <w:rsid w:val="36B97328"/>
    <w:rsid w:val="37794D33"/>
    <w:rsid w:val="37A565B4"/>
    <w:rsid w:val="37B5605B"/>
    <w:rsid w:val="37DF8EE1"/>
    <w:rsid w:val="37F7297B"/>
    <w:rsid w:val="37FB963C"/>
    <w:rsid w:val="386D6DD1"/>
    <w:rsid w:val="389B2F78"/>
    <w:rsid w:val="39157428"/>
    <w:rsid w:val="3921659F"/>
    <w:rsid w:val="397B7A7D"/>
    <w:rsid w:val="39D9695E"/>
    <w:rsid w:val="39F15481"/>
    <w:rsid w:val="3A0223BF"/>
    <w:rsid w:val="3A3E65C1"/>
    <w:rsid w:val="3B3AB1C7"/>
    <w:rsid w:val="3B804CB6"/>
    <w:rsid w:val="3BCF3696"/>
    <w:rsid w:val="3BEC360C"/>
    <w:rsid w:val="3BEF0DBE"/>
    <w:rsid w:val="3C227E0C"/>
    <w:rsid w:val="3C6073C7"/>
    <w:rsid w:val="3C820198"/>
    <w:rsid w:val="3D2174E0"/>
    <w:rsid w:val="3D2A5D69"/>
    <w:rsid w:val="3DCD6DEE"/>
    <w:rsid w:val="3DFFFC76"/>
    <w:rsid w:val="3E3A0566"/>
    <w:rsid w:val="3E7E5396"/>
    <w:rsid w:val="3E922F80"/>
    <w:rsid w:val="3E9F4A75"/>
    <w:rsid w:val="3EA3595E"/>
    <w:rsid w:val="3EDD0399"/>
    <w:rsid w:val="3EF58A95"/>
    <w:rsid w:val="3EFB61EC"/>
    <w:rsid w:val="3EFF1EBA"/>
    <w:rsid w:val="3F6DDEB3"/>
    <w:rsid w:val="3F964FAD"/>
    <w:rsid w:val="3FCF7366"/>
    <w:rsid w:val="3FDB99D7"/>
    <w:rsid w:val="3FEE477C"/>
    <w:rsid w:val="3FF41CB3"/>
    <w:rsid w:val="3FFE3359"/>
    <w:rsid w:val="3FFF1897"/>
    <w:rsid w:val="40B746C6"/>
    <w:rsid w:val="41315239"/>
    <w:rsid w:val="41717482"/>
    <w:rsid w:val="419A2594"/>
    <w:rsid w:val="41E566B5"/>
    <w:rsid w:val="42153869"/>
    <w:rsid w:val="4249563B"/>
    <w:rsid w:val="42D14CB7"/>
    <w:rsid w:val="42E5171C"/>
    <w:rsid w:val="432403E5"/>
    <w:rsid w:val="43810EFE"/>
    <w:rsid w:val="43BB040C"/>
    <w:rsid w:val="43D521AB"/>
    <w:rsid w:val="44360E19"/>
    <w:rsid w:val="444A3897"/>
    <w:rsid w:val="44D02FD8"/>
    <w:rsid w:val="44E13288"/>
    <w:rsid w:val="44FE772F"/>
    <w:rsid w:val="45F2657F"/>
    <w:rsid w:val="45F91F2C"/>
    <w:rsid w:val="46905E80"/>
    <w:rsid w:val="47BB31E0"/>
    <w:rsid w:val="485428F9"/>
    <w:rsid w:val="49032288"/>
    <w:rsid w:val="496C0326"/>
    <w:rsid w:val="498E6BA8"/>
    <w:rsid w:val="49DC2871"/>
    <w:rsid w:val="49DE1118"/>
    <w:rsid w:val="4A072DD5"/>
    <w:rsid w:val="4A3D1407"/>
    <w:rsid w:val="4A7F4D1B"/>
    <w:rsid w:val="4A8941B2"/>
    <w:rsid w:val="4B5C7EB2"/>
    <w:rsid w:val="4B7E48E9"/>
    <w:rsid w:val="4BAEE0D2"/>
    <w:rsid w:val="4C2B3A02"/>
    <w:rsid w:val="4C3D581F"/>
    <w:rsid w:val="4CB01C53"/>
    <w:rsid w:val="4CE4241F"/>
    <w:rsid w:val="4D8F5B80"/>
    <w:rsid w:val="4EDCB522"/>
    <w:rsid w:val="4F757719"/>
    <w:rsid w:val="4F836083"/>
    <w:rsid w:val="4FE7BAB9"/>
    <w:rsid w:val="50066D69"/>
    <w:rsid w:val="501D6EEE"/>
    <w:rsid w:val="5054294D"/>
    <w:rsid w:val="511C62A9"/>
    <w:rsid w:val="51301396"/>
    <w:rsid w:val="51526836"/>
    <w:rsid w:val="520668D4"/>
    <w:rsid w:val="52AD77B3"/>
    <w:rsid w:val="52DB3E5F"/>
    <w:rsid w:val="53BB66ED"/>
    <w:rsid w:val="53F20915"/>
    <w:rsid w:val="547A6A24"/>
    <w:rsid w:val="54D85D6F"/>
    <w:rsid w:val="5515300A"/>
    <w:rsid w:val="555148AE"/>
    <w:rsid w:val="55723CC8"/>
    <w:rsid w:val="557FDFF7"/>
    <w:rsid w:val="558548FA"/>
    <w:rsid w:val="55A72FEC"/>
    <w:rsid w:val="56206DD9"/>
    <w:rsid w:val="56362CF9"/>
    <w:rsid w:val="565A3E84"/>
    <w:rsid w:val="56BF21F7"/>
    <w:rsid w:val="56FE3F39"/>
    <w:rsid w:val="573703B7"/>
    <w:rsid w:val="57AFCC74"/>
    <w:rsid w:val="57E71A91"/>
    <w:rsid w:val="57F0666B"/>
    <w:rsid w:val="57FEC7C9"/>
    <w:rsid w:val="58256545"/>
    <w:rsid w:val="585F3A19"/>
    <w:rsid w:val="587674EF"/>
    <w:rsid w:val="58AD4E73"/>
    <w:rsid w:val="590E3633"/>
    <w:rsid w:val="593E0B81"/>
    <w:rsid w:val="594574A4"/>
    <w:rsid w:val="59F67A26"/>
    <w:rsid w:val="59FA4359"/>
    <w:rsid w:val="5A4440A8"/>
    <w:rsid w:val="5A7DED33"/>
    <w:rsid w:val="5AE41624"/>
    <w:rsid w:val="5AF20429"/>
    <w:rsid w:val="5B57FF72"/>
    <w:rsid w:val="5B900670"/>
    <w:rsid w:val="5B9E4325"/>
    <w:rsid w:val="5BA72E95"/>
    <w:rsid w:val="5BCA327E"/>
    <w:rsid w:val="5BD85F62"/>
    <w:rsid w:val="5D870982"/>
    <w:rsid w:val="5DCF5315"/>
    <w:rsid w:val="5E5A74C0"/>
    <w:rsid w:val="5E6E1017"/>
    <w:rsid w:val="5EAA2FA8"/>
    <w:rsid w:val="5EB27A68"/>
    <w:rsid w:val="5EBAE651"/>
    <w:rsid w:val="5EF2146E"/>
    <w:rsid w:val="5F721090"/>
    <w:rsid w:val="5F780C1F"/>
    <w:rsid w:val="5FC767A1"/>
    <w:rsid w:val="5FD7F69B"/>
    <w:rsid w:val="5FD95EB7"/>
    <w:rsid w:val="5FE75EC9"/>
    <w:rsid w:val="5FE8A07B"/>
    <w:rsid w:val="5FE94102"/>
    <w:rsid w:val="5FEF9598"/>
    <w:rsid w:val="5FFB0FF0"/>
    <w:rsid w:val="5FFF61C3"/>
    <w:rsid w:val="60196D73"/>
    <w:rsid w:val="6073556E"/>
    <w:rsid w:val="60A81824"/>
    <w:rsid w:val="60C53352"/>
    <w:rsid w:val="60CD640A"/>
    <w:rsid w:val="60F70D77"/>
    <w:rsid w:val="614F4FFE"/>
    <w:rsid w:val="614F6102"/>
    <w:rsid w:val="61EC1511"/>
    <w:rsid w:val="620E4AC6"/>
    <w:rsid w:val="641920C5"/>
    <w:rsid w:val="65976461"/>
    <w:rsid w:val="65A63EE5"/>
    <w:rsid w:val="65B71C29"/>
    <w:rsid w:val="65BFD73A"/>
    <w:rsid w:val="65C6C6DC"/>
    <w:rsid w:val="65FD7A09"/>
    <w:rsid w:val="65FF70AF"/>
    <w:rsid w:val="6641507C"/>
    <w:rsid w:val="66680690"/>
    <w:rsid w:val="66AF4113"/>
    <w:rsid w:val="67320DA3"/>
    <w:rsid w:val="67F93610"/>
    <w:rsid w:val="67FF32D7"/>
    <w:rsid w:val="686A7A9B"/>
    <w:rsid w:val="6A59715E"/>
    <w:rsid w:val="6ACA26DF"/>
    <w:rsid w:val="6ADF69FA"/>
    <w:rsid w:val="6B012CD8"/>
    <w:rsid w:val="6B6A52CA"/>
    <w:rsid w:val="6B7BB8EB"/>
    <w:rsid w:val="6B9ED3B3"/>
    <w:rsid w:val="6CFFA59D"/>
    <w:rsid w:val="6D0A3550"/>
    <w:rsid w:val="6D6453C4"/>
    <w:rsid w:val="6DA57E98"/>
    <w:rsid w:val="6DBF6C40"/>
    <w:rsid w:val="6DCC6BE3"/>
    <w:rsid w:val="6DFF26ED"/>
    <w:rsid w:val="6E6B451C"/>
    <w:rsid w:val="6E7DAB48"/>
    <w:rsid w:val="6EBF93EF"/>
    <w:rsid w:val="6EC57D59"/>
    <w:rsid w:val="6F4523B2"/>
    <w:rsid w:val="6F7E8481"/>
    <w:rsid w:val="6FB05D40"/>
    <w:rsid w:val="6FB25A73"/>
    <w:rsid w:val="6FF6B9D1"/>
    <w:rsid w:val="706411C2"/>
    <w:rsid w:val="707FEEFA"/>
    <w:rsid w:val="71312223"/>
    <w:rsid w:val="71C57BB8"/>
    <w:rsid w:val="71DF385C"/>
    <w:rsid w:val="723301EC"/>
    <w:rsid w:val="72E53E91"/>
    <w:rsid w:val="732E1BE6"/>
    <w:rsid w:val="735FF940"/>
    <w:rsid w:val="73AB87B5"/>
    <w:rsid w:val="73E3A8F3"/>
    <w:rsid w:val="73EF902B"/>
    <w:rsid w:val="741EAE5E"/>
    <w:rsid w:val="74B32CE6"/>
    <w:rsid w:val="74E63DBF"/>
    <w:rsid w:val="750D418B"/>
    <w:rsid w:val="7555E5AC"/>
    <w:rsid w:val="75E6CDAC"/>
    <w:rsid w:val="76B03F9C"/>
    <w:rsid w:val="76DFA206"/>
    <w:rsid w:val="772D4E73"/>
    <w:rsid w:val="772D7293"/>
    <w:rsid w:val="7787495D"/>
    <w:rsid w:val="77F181AC"/>
    <w:rsid w:val="77FF6D79"/>
    <w:rsid w:val="78734A44"/>
    <w:rsid w:val="789703B7"/>
    <w:rsid w:val="793C6FB0"/>
    <w:rsid w:val="79563E0C"/>
    <w:rsid w:val="79873265"/>
    <w:rsid w:val="79DE0142"/>
    <w:rsid w:val="79EDC60B"/>
    <w:rsid w:val="7A396BC6"/>
    <w:rsid w:val="7A5B3749"/>
    <w:rsid w:val="7A77CF30"/>
    <w:rsid w:val="7AFC19FF"/>
    <w:rsid w:val="7AFE755F"/>
    <w:rsid w:val="7B1BB03A"/>
    <w:rsid w:val="7B2A90A5"/>
    <w:rsid w:val="7B502261"/>
    <w:rsid w:val="7BC67971"/>
    <w:rsid w:val="7BDF601A"/>
    <w:rsid w:val="7BEC5DB9"/>
    <w:rsid w:val="7BFEB39F"/>
    <w:rsid w:val="7C9FEBC7"/>
    <w:rsid w:val="7CB84D0C"/>
    <w:rsid w:val="7CFEB988"/>
    <w:rsid w:val="7D5E7E3F"/>
    <w:rsid w:val="7D911F74"/>
    <w:rsid w:val="7D9D7924"/>
    <w:rsid w:val="7DBFD58D"/>
    <w:rsid w:val="7DFF1824"/>
    <w:rsid w:val="7E09734B"/>
    <w:rsid w:val="7E5073C7"/>
    <w:rsid w:val="7E6573C4"/>
    <w:rsid w:val="7E8E61BD"/>
    <w:rsid w:val="7EDA732B"/>
    <w:rsid w:val="7EEEDC72"/>
    <w:rsid w:val="7EFB15A8"/>
    <w:rsid w:val="7EFE5B39"/>
    <w:rsid w:val="7EFFEAEF"/>
    <w:rsid w:val="7F0243F7"/>
    <w:rsid w:val="7F066789"/>
    <w:rsid w:val="7F5F86E2"/>
    <w:rsid w:val="7F6E5838"/>
    <w:rsid w:val="7F8FBEC1"/>
    <w:rsid w:val="7FB5841C"/>
    <w:rsid w:val="7FBEFE6B"/>
    <w:rsid w:val="7FD3B449"/>
    <w:rsid w:val="7FDFE130"/>
    <w:rsid w:val="7FE1C96A"/>
    <w:rsid w:val="7FE58878"/>
    <w:rsid w:val="7FED3164"/>
    <w:rsid w:val="7FF6C424"/>
    <w:rsid w:val="7FFA133C"/>
    <w:rsid w:val="7FFC3AFB"/>
    <w:rsid w:val="7FFEB5D5"/>
    <w:rsid w:val="7FFF5569"/>
    <w:rsid w:val="7FFF9399"/>
    <w:rsid w:val="7FFFAA01"/>
    <w:rsid w:val="7FFFB98C"/>
    <w:rsid w:val="89CFA4C1"/>
    <w:rsid w:val="95BFFDC2"/>
    <w:rsid w:val="9D5A90CB"/>
    <w:rsid w:val="9E59CFC1"/>
    <w:rsid w:val="9F67E6E6"/>
    <w:rsid w:val="9FD533C3"/>
    <w:rsid w:val="A65FBDAE"/>
    <w:rsid w:val="A7DB2FD9"/>
    <w:rsid w:val="A97FD623"/>
    <w:rsid w:val="ABDDEF0E"/>
    <w:rsid w:val="AEB89A71"/>
    <w:rsid w:val="AED3BDB7"/>
    <w:rsid w:val="AEDE2536"/>
    <w:rsid w:val="AFEFB0AC"/>
    <w:rsid w:val="B67F82CC"/>
    <w:rsid w:val="B77DAF7F"/>
    <w:rsid w:val="B7FF9DE4"/>
    <w:rsid w:val="B9FFBD5F"/>
    <w:rsid w:val="BAFD8CA1"/>
    <w:rsid w:val="BAFEFCA4"/>
    <w:rsid w:val="BBDDFAFC"/>
    <w:rsid w:val="BC7D0BA1"/>
    <w:rsid w:val="BC970D9F"/>
    <w:rsid w:val="BCC5B3F5"/>
    <w:rsid w:val="BE6E76C7"/>
    <w:rsid w:val="BF1560EB"/>
    <w:rsid w:val="BF3F2939"/>
    <w:rsid w:val="BF57277C"/>
    <w:rsid w:val="BF7FDBAC"/>
    <w:rsid w:val="BF93730E"/>
    <w:rsid w:val="BFAE13E0"/>
    <w:rsid w:val="BFB65E44"/>
    <w:rsid w:val="BFF3C068"/>
    <w:rsid w:val="BFFB6106"/>
    <w:rsid w:val="BFFBED82"/>
    <w:rsid w:val="BFFF2E57"/>
    <w:rsid w:val="C1FDDCF5"/>
    <w:rsid w:val="C6B47197"/>
    <w:rsid w:val="C6EB9A99"/>
    <w:rsid w:val="C98332F5"/>
    <w:rsid w:val="CE5BBEDE"/>
    <w:rsid w:val="CF6F1C6A"/>
    <w:rsid w:val="CFF1D23C"/>
    <w:rsid w:val="CFF7C4FC"/>
    <w:rsid w:val="D3E60307"/>
    <w:rsid w:val="D5FF57CA"/>
    <w:rsid w:val="D728B5AA"/>
    <w:rsid w:val="D7926C88"/>
    <w:rsid w:val="D79D9533"/>
    <w:rsid w:val="D7FA627C"/>
    <w:rsid w:val="D8AAE29A"/>
    <w:rsid w:val="DB4FFD07"/>
    <w:rsid w:val="DD77C3D3"/>
    <w:rsid w:val="DD7BC7BC"/>
    <w:rsid w:val="DDF76905"/>
    <w:rsid w:val="DDF7789F"/>
    <w:rsid w:val="DED7CD55"/>
    <w:rsid w:val="DFB98994"/>
    <w:rsid w:val="DFCDCA71"/>
    <w:rsid w:val="DFCFE5A7"/>
    <w:rsid w:val="DFFD425C"/>
    <w:rsid w:val="DFFFC45E"/>
    <w:rsid w:val="E3FC7A59"/>
    <w:rsid w:val="E73331EF"/>
    <w:rsid w:val="E8FDE076"/>
    <w:rsid w:val="EAFBE1B0"/>
    <w:rsid w:val="EB7D76E4"/>
    <w:rsid w:val="EB7F2890"/>
    <w:rsid w:val="EDF75313"/>
    <w:rsid w:val="EE6A3092"/>
    <w:rsid w:val="EEF7ECE3"/>
    <w:rsid w:val="EEFB2B82"/>
    <w:rsid w:val="EF3F476C"/>
    <w:rsid w:val="EF656983"/>
    <w:rsid w:val="EFAF111A"/>
    <w:rsid w:val="EFBEC1E6"/>
    <w:rsid w:val="EFFB154A"/>
    <w:rsid w:val="F13B0271"/>
    <w:rsid w:val="F3DDDEED"/>
    <w:rsid w:val="F3E335D7"/>
    <w:rsid w:val="F3FD4FD6"/>
    <w:rsid w:val="F4BF45AA"/>
    <w:rsid w:val="F4D9AA1B"/>
    <w:rsid w:val="F6760A72"/>
    <w:rsid w:val="F6BD5EA8"/>
    <w:rsid w:val="F7957D53"/>
    <w:rsid w:val="F7BB34C7"/>
    <w:rsid w:val="F7EDCC81"/>
    <w:rsid w:val="F7EF5846"/>
    <w:rsid w:val="F7EF80BC"/>
    <w:rsid w:val="F9DEDF27"/>
    <w:rsid w:val="F9EFDD14"/>
    <w:rsid w:val="FA8BF588"/>
    <w:rsid w:val="FAEF882F"/>
    <w:rsid w:val="FBBD530F"/>
    <w:rsid w:val="FBBE0165"/>
    <w:rsid w:val="FBDFF3C6"/>
    <w:rsid w:val="FBEDCD61"/>
    <w:rsid w:val="FBF794AE"/>
    <w:rsid w:val="FBF79FC8"/>
    <w:rsid w:val="FBF91E7E"/>
    <w:rsid w:val="FD374A83"/>
    <w:rsid w:val="FD57B33C"/>
    <w:rsid w:val="FD66BA93"/>
    <w:rsid w:val="FD952713"/>
    <w:rsid w:val="FDAF3951"/>
    <w:rsid w:val="FDEF9C54"/>
    <w:rsid w:val="FDF635AE"/>
    <w:rsid w:val="FDF7370F"/>
    <w:rsid w:val="FDFB5D34"/>
    <w:rsid w:val="FDFE16B7"/>
    <w:rsid w:val="FDFF5B62"/>
    <w:rsid w:val="FDFF6CFE"/>
    <w:rsid w:val="FDFF7E74"/>
    <w:rsid w:val="FE5853EC"/>
    <w:rsid w:val="FEB3A3BE"/>
    <w:rsid w:val="FEB77DD1"/>
    <w:rsid w:val="FEBCDE70"/>
    <w:rsid w:val="FEBFE2D7"/>
    <w:rsid w:val="FEDF4772"/>
    <w:rsid w:val="FEF9492B"/>
    <w:rsid w:val="FF5F23AB"/>
    <w:rsid w:val="FF75AC0A"/>
    <w:rsid w:val="FF9FE473"/>
    <w:rsid w:val="FFAA7EAA"/>
    <w:rsid w:val="FFB3E6A6"/>
    <w:rsid w:val="FFBEC975"/>
    <w:rsid w:val="FFBF60EF"/>
    <w:rsid w:val="FFBFA50D"/>
    <w:rsid w:val="FFDB8864"/>
    <w:rsid w:val="FFDF8249"/>
    <w:rsid w:val="FFDF8D4B"/>
    <w:rsid w:val="FFEBA9BE"/>
    <w:rsid w:val="FFEBB474"/>
    <w:rsid w:val="FFED28EC"/>
    <w:rsid w:val="FFEF6F75"/>
    <w:rsid w:val="FFF2A6FC"/>
    <w:rsid w:val="FFF2E15A"/>
    <w:rsid w:val="FFF6232F"/>
    <w:rsid w:val="FFF77146"/>
    <w:rsid w:val="FFF7721D"/>
    <w:rsid w:val="FFF7DF1C"/>
    <w:rsid w:val="FFFC75A6"/>
    <w:rsid w:val="FFFE3D67"/>
    <w:rsid w:val="FFFEA45B"/>
    <w:rsid w:val="FFFF6A30"/>
    <w:rsid w:val="FFFF98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cs="宋体"/>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Cambria" w:hAnsi="Cambria" w:cs="宋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spacing w:after="120" w:afterLines="0" w:afterAutospacing="0" w:line="480" w:lineRule="auto"/>
      <w:ind w:left="42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2"/>
    <w:basedOn w:val="1"/>
    <w:next w:val="1"/>
    <w:qFormat/>
    <w:uiPriority w:val="0"/>
    <w:pPr>
      <w:keepNext w:val="0"/>
      <w:keepLines w:val="0"/>
      <w:widowControl w:val="0"/>
      <w:suppressLineNumbers w:val="0"/>
      <w:ind w:left="420" w:leftChars="200"/>
      <w:jc w:val="both"/>
    </w:pPr>
    <w:rPr>
      <w:rFonts w:hint="default" w:ascii="Times New Roman" w:hAnsi="Times New Roman" w:eastAsia="仿宋_GB2312" w:cs="Times New Roman"/>
      <w:kern w:val="2"/>
      <w:sz w:val="32"/>
      <w:szCs w:val="32"/>
      <w:lang w:val="en-US" w:eastAsia="zh-CN" w:bidi="ar"/>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Default"/>
    <w:qFormat/>
    <w:uiPriority w:val="99"/>
    <w:pPr>
      <w:widowControl w:val="0"/>
      <w:autoSpaceDE w:val="0"/>
      <w:autoSpaceDN w:val="0"/>
      <w:adjustRightInd w:val="0"/>
    </w:pPr>
    <w:rPr>
      <w:rFonts w:ascii="楷体_GB2312" w:hAnsi="Times New Roman" w:eastAsia="楷体_GB2312" w:cs="Times New Roman"/>
      <w:color w:val="000000"/>
      <w:sz w:val="24"/>
      <w:szCs w:val="22"/>
      <w:lang w:val="en-US" w:eastAsia="zh-CN" w:bidi="ar-SA"/>
    </w:rPr>
  </w:style>
  <w:style w:type="paragraph" w:customStyle="1" w:styleId="22">
    <w:name w:val="Normal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1500</Words>
  <Characters>1535</Characters>
  <Lines>63</Lines>
  <Paragraphs>17</Paragraphs>
  <TotalTime>25</TotalTime>
  <ScaleCrop>false</ScaleCrop>
  <LinksUpToDate>false</LinksUpToDate>
  <CharactersWithSpaces>1569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2022-10-18T13:41:00Z</dcterms:created>
  <dc:creator>huangxiaowei</dc:creator>
  <cp:lastModifiedBy>LuzyZ</cp:lastModifiedBy>
  <cp:lastPrinted>2026-04-27T09:20:00Z</cp:lastPrinted>
  <dcterms:modified xsi:type="dcterms:W3CDTF">2026-05-21T02:08:30Z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8F7E5EA2B646444581EB28BBAF0CEE6E</vt:lpwstr>
  </property>
  <property fmtid="{D5CDD505-2E9C-101B-9397-08002B2CF9AE}" pid="4" name="KSOTemplateDocerSaveRecord">
    <vt:lpwstr>eyJoZGlkIjoiN2JhNjA3MDYwOGJmYmYzMWU5Yzg1Y2UwYjJhNjgwODAiLCJ1c2VySWQiOiIzOTY5NDI0NjUifQ==</vt:lpwstr>
  </property>
</Properties>
</file>