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共深圳市福田区福保街道新港社区委员会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关于巡察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整改进展情况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根据区委统一部署，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2025年3月至2025年7月，区委第四巡察组对新港社区党组织开展了巡察。7月30日，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区委第四巡察组向新港社区党组织反馈了巡察意见。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按照巡察工作有关要求，现将巡察整改进展情况予以公布。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党组织履行巡察整改主体责任情况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（一）锚定政治方向，筑牢整改根基。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社区党委将巡察整改作为重大政治任务，深入学习贯彻习近平总书记关于巡视工作的重要论述，严格对照反馈意见和提出的要求，第一时间专题部署、剖析根源，杜绝“过关思想”；成立整改领导小组，制定方案、细化任务、明确责任时限，构建“党委牵头、分工负责、协同推进”工作体系，确保件件有着落、事事有回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（二）聚焦攻坚破难，推动整改落地。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坚决扛牢整改主体责任，定期召开推进会破解堵点；党组织主要负责人履行第一责任人责任，落实“四个亲自”要求，带头统筹督办，联动多方力量解决民生突出问题，以“头雁”担当推动整改见实效。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黑体" w:cs="方正黑体_GBK"/>
          <w:strike w:val="0"/>
          <w:dstrike w:val="0"/>
          <w:color w:val="auto"/>
          <w:spacing w:val="0"/>
          <w:sz w:val="32"/>
          <w:szCs w:val="32"/>
          <w:u w:val="none" w:color="auto"/>
          <w:lang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（三）坚持深查细改，提升整改质效。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组织召开巡察整改专题民主生活会，严肃开展批评与自我批评，深挖问题根源，增强整改“三个自觉”。坚持标本兼治，既当下整改突出问题，又健全长效机制，以整改实效推动社区治理提质增效。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黑体" w:eastAsia="黑体" w:cs="方正黑体_GBK"/>
          <w:strike w:val="0"/>
          <w:dstrike w:val="0"/>
          <w:color w:val="auto"/>
          <w:spacing w:val="0"/>
          <w:sz w:val="32"/>
          <w:szCs w:val="32"/>
          <w:u w:val="none" w:color="auto"/>
          <w:lang w:eastAsia="zh-CN"/>
        </w:rPr>
        <w:t>二、</w:t>
      </w:r>
      <w:r>
        <w:rPr>
          <w:rFonts w:hint="eastAsia" w:ascii="Times New Roman" w:hAnsi="黑体" w:eastAsia="黑体" w:cs="方正黑体_GBK"/>
          <w:strike w:val="0"/>
          <w:dstrike w:val="0"/>
          <w:color w:val="auto"/>
          <w:spacing w:val="0"/>
          <w:sz w:val="32"/>
          <w:szCs w:val="32"/>
          <w:u w:val="none" w:color="auto"/>
        </w:rPr>
        <w:t>巡察整改任务落实情况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（一）关于落实巡察指出问题整改方面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eastAsia="zh-CN"/>
        </w:rPr>
        <w:t>从严抓实党员教育管理。一是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eastAsia="zh-CN"/>
        </w:rPr>
        <w:t>健全党员联系与党费收缴机制，完成相关党员建档整改与谈话提醒；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eastAsia="zh-CN"/>
        </w:rPr>
        <w:t>加强党务队伍培训，推动党员管理、党费收缴规范化制度化。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val="en-US" w:eastAsia="zh-CN"/>
        </w:rPr>
        <w:t>2.健全项目全流程监管体系。一是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val="en-US" w:eastAsia="zh-CN"/>
        </w:rPr>
        <w:t>开展谈话提醒，强化合同管理的规范化水平，增强工作人员合同管理意识与责任意识。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val="en-US" w:eastAsia="zh-CN"/>
        </w:rPr>
        <w:t>强化民生微实事项目常态化抽查督办，确保项目运行合规、监管到位。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（二）关于落实党中央及上级各项决策部署方面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</w:rPr>
        <w:t>深化理论武装，规范“第一议题”学习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严格落实“第一议题”学习闭环机制，深入学习习近平总书记重要讲话和重要指示批示精神，开展专题学习与深度研讨，实现党员学习全覆盖；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推动理论学习与社区治理实践深度融合，补学相关重要指示精神并落地落实；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完善年度学习计划，确保学习常态化、规范化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/>
          <w:b/>
          <w:bCs w:val="0"/>
          <w:spacing w:val="0"/>
          <w:w w:val="100"/>
          <w:position w:val="0"/>
          <w:sz w:val="32"/>
        </w:rPr>
        <w:t>聚力提质增效，纵深推进</w:t>
      </w:r>
      <w:r>
        <w:rPr>
          <w:rFonts w:hint="eastAsia" w:ascii="Times New Roman" w:hAnsi="Times New Roman" w:eastAsia="仿宋_GB2312"/>
          <w:b/>
          <w:bCs w:val="0"/>
          <w:spacing w:val="0"/>
          <w:w w:val="100"/>
          <w:position w:val="0"/>
          <w:sz w:val="32"/>
          <w:lang w:eastAsia="zh-CN"/>
        </w:rPr>
        <w:t>“</w:t>
      </w:r>
      <w:r>
        <w:rPr>
          <w:rFonts w:hint="default" w:ascii="Times New Roman" w:hAnsi="Times New Roman" w:eastAsia="仿宋_GB2312"/>
          <w:b/>
          <w:bCs w:val="0"/>
          <w:spacing w:val="0"/>
          <w:w w:val="100"/>
          <w:position w:val="0"/>
          <w:sz w:val="32"/>
        </w:rPr>
        <w:t>百千万工程</w:t>
      </w:r>
      <w:r>
        <w:rPr>
          <w:rFonts w:hint="eastAsia" w:ascii="Times New Roman" w:hAnsi="Times New Roman" w:eastAsia="仿宋_GB2312"/>
          <w:b/>
          <w:bCs w:val="0"/>
          <w:spacing w:val="0"/>
          <w:w w:val="100"/>
          <w:position w:val="0"/>
          <w:sz w:val="32"/>
          <w:lang w:eastAsia="zh-CN"/>
        </w:rPr>
        <w:t>”</w:t>
      </w:r>
      <w:r>
        <w:rPr>
          <w:rFonts w:hint="default" w:ascii="Times New Roman" w:hAnsi="Times New Roman" w:eastAsia="仿宋_GB2312"/>
          <w:b/>
          <w:bCs w:val="0"/>
          <w:spacing w:val="0"/>
          <w:w w:val="100"/>
          <w:position w:val="0"/>
          <w:sz w:val="32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健全政企联动机制，拓宽企业参与渠道，扩大活动覆盖面；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优化民意收集与响应机制，精准对接群众需求，逐项销号民生问题；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规范项目推进流程，定期调度推进，确保项目按时落地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lang w:val="en-US" w:eastAsia="zh-CN"/>
        </w:rPr>
        <w:t>.</w:t>
      </w:r>
      <w:r>
        <w:rPr>
          <w:rFonts w:hint="default" w:ascii="Times New Roman" w:hAnsi="Times New Roman" w:eastAsia="仿宋_GB2312"/>
          <w:b/>
          <w:bCs w:val="0"/>
          <w:spacing w:val="0"/>
          <w:w w:val="100"/>
          <w:position w:val="0"/>
          <w:sz w:val="32"/>
        </w:rPr>
        <w:t>狠抓安全整治，筑牢辖区安全防线</w:t>
      </w:r>
      <w:r>
        <w:rPr>
          <w:rFonts w:hint="eastAsia" w:ascii="楷体_GB2312" w:hAnsi="楷体_GB2312" w:eastAsia="楷体_GB2312" w:cs="楷体_GB2312"/>
          <w:b/>
          <w:bCs w:val="0"/>
          <w:spacing w:val="0"/>
          <w:w w:val="100"/>
          <w:position w:val="0"/>
          <w:sz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全面开展“房中房”、消防设施、非机动车管理等专项整治，完成存量隐患清零；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健全常态化巡查与长效监管机制，从源头防范隐患反弹；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  <w:lang w:val="en-US" w:eastAsia="zh-CN"/>
        </w:rPr>
        <w:t>加强安全宣传教育，提升居民、企业安全意识，筑牢安全防线。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 w:val="0"/>
          <w:strike w:val="0"/>
          <w:dstrike w:val="0"/>
          <w:color w:val="auto"/>
          <w:spacing w:val="0"/>
          <w:sz w:val="32"/>
          <w:szCs w:val="40"/>
          <w:u w:val="none" w:color="auto"/>
        </w:rPr>
        <w:t>健全调处体系，高效化解矛盾纠纷。一是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sz w:val="32"/>
          <w:szCs w:val="40"/>
          <w:u w:val="none" w:color="auto"/>
        </w:rPr>
        <w:t>聚焦物业、预付消费、租赁等重点纠纷，强化多方联动处置，推动妥善化解；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pacing w:val="0"/>
          <w:sz w:val="32"/>
          <w:szCs w:val="40"/>
          <w:u w:val="none" w:color="auto"/>
        </w:rPr>
        <w:t>二是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sz w:val="32"/>
          <w:szCs w:val="40"/>
          <w:u w:val="none" w:color="auto"/>
        </w:rPr>
        <w:t>完善诉求闭环办理机制，快速响应、高效处置各类民生工单；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pacing w:val="0"/>
          <w:sz w:val="32"/>
          <w:szCs w:val="40"/>
          <w:u w:val="none" w:color="auto"/>
        </w:rPr>
        <w:t>三是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sz w:val="32"/>
          <w:szCs w:val="40"/>
          <w:u w:val="none" w:color="auto"/>
        </w:rPr>
        <w:t>加强调解队伍建设，提升源头治理和风险预判能力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压实主体责任，筑牢意识形态防线。一是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全面整改党徽党旗、国旗使用及宣传翻译不规范问题；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开展意识形态专题培训，强化工作人员责任意识；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建立常态化排查机制，定期开展拉网式排查，及时整改风险隐患。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（三）关于贯彻落实全面从严治党战略部署方面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1.压实全面从严治党主体责任。一是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制定责任清单，健全例会制度，形成责任闭环；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优化项目方案，贴合社区实际提升工作实效；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规范议事决策，完善廉政谈话与风险防控机制，提升廉政教育质效。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2.深化作风建设，规范民生微实事管理。一是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拓宽项目宣传渠道，扩大服务受众覆盖面；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健全项目跟踪评估机制，确保项目惠及不同群体；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完善民意征集流程，广泛收集居民意见，提升项目贴合度；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建立反馈整改台账，及时回应居民诉求，提升项目实效。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3.规范惠民补贴发放，强化资金监管。一是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加强业务培训，提升工作人员政策执行能力；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全面整改补贴发放不规范问题，退回违规资金；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健全补贴审核监管机制，定期核实人员信息，确保发放精准；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强化廉政教育，筑牢资金使用廉洁防线。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（四）关于贯彻落实新时代基层党组织建设方面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仿宋_GB2312"/>
          <w:b w:val="0"/>
          <w:bCs/>
          <w:spacing w:val="0"/>
          <w:w w:val="100"/>
          <w:position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1.强化班子建设，提升决策效能</w:t>
      </w:r>
      <w:r>
        <w:rPr>
          <w:rFonts w:hint="default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仿宋_GB2312"/>
          <w:b/>
          <w:bCs w:val="0"/>
          <w:spacing w:val="0"/>
          <w:w w:val="100"/>
          <w:position w:val="0"/>
          <w:sz w:val="32"/>
          <w:lang w:eastAsia="zh-CN"/>
        </w:rPr>
        <w:t>一是</w:t>
      </w:r>
      <w:r>
        <w:rPr>
          <w:rFonts w:hint="default" w:ascii="Times New Roman" w:hAnsi="Times New Roman" w:eastAsia="仿宋_GB2312"/>
          <w:b w:val="0"/>
          <w:bCs/>
          <w:spacing w:val="0"/>
          <w:w w:val="100"/>
          <w:position w:val="0"/>
          <w:sz w:val="32"/>
          <w:lang w:eastAsia="zh-CN"/>
        </w:rPr>
        <w:t>健全党委议事规则，严格执行民主集中制和“一把手”末位表态制度，规范会议流程与记录；</w:t>
      </w:r>
      <w:r>
        <w:rPr>
          <w:rFonts w:hint="default" w:ascii="Times New Roman" w:hAnsi="Times New Roman" w:eastAsia="仿宋_GB2312"/>
          <w:b/>
          <w:bCs w:val="0"/>
          <w:spacing w:val="0"/>
          <w:w w:val="100"/>
          <w:position w:val="0"/>
          <w:sz w:val="32"/>
          <w:lang w:eastAsia="zh-CN"/>
        </w:rPr>
        <w:t>二是</w:t>
      </w:r>
      <w:r>
        <w:rPr>
          <w:rFonts w:hint="default" w:ascii="Times New Roman" w:hAnsi="Times New Roman" w:eastAsia="仿宋_GB2312"/>
          <w:b w:val="0"/>
          <w:bCs/>
          <w:spacing w:val="0"/>
          <w:w w:val="100"/>
          <w:position w:val="0"/>
          <w:sz w:val="32"/>
          <w:lang w:eastAsia="zh-CN"/>
        </w:rPr>
        <w:t>规范干部选拔任用，完善考核机制，充分听取群众意见；</w:t>
      </w:r>
      <w:r>
        <w:rPr>
          <w:rFonts w:hint="default" w:ascii="Times New Roman" w:hAnsi="Times New Roman" w:eastAsia="仿宋_GB2312"/>
          <w:b/>
          <w:bCs w:val="0"/>
          <w:spacing w:val="0"/>
          <w:w w:val="100"/>
          <w:position w:val="0"/>
          <w:sz w:val="32"/>
          <w:lang w:eastAsia="zh-CN"/>
        </w:rPr>
        <w:t>三是</w:t>
      </w:r>
      <w:r>
        <w:rPr>
          <w:rFonts w:hint="default" w:ascii="Times New Roman" w:hAnsi="Times New Roman" w:eastAsia="仿宋_GB2312"/>
          <w:b w:val="0"/>
          <w:bCs/>
          <w:spacing w:val="0"/>
          <w:w w:val="100"/>
          <w:position w:val="0"/>
          <w:sz w:val="32"/>
          <w:lang w:eastAsia="zh-CN"/>
        </w:rPr>
        <w:t>从严加强作风建设，落实中央八项规定精神，纠治“四风”问题，持续改进工作作风。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仿宋_GB2312"/>
          <w:b/>
          <w:bCs w:val="0"/>
          <w:spacing w:val="0"/>
          <w:w w:val="100"/>
          <w:position w:val="0"/>
          <w:sz w:val="32"/>
        </w:rPr>
        <w:t>夯实党建基础，规范党务工作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eastAsia="zh-CN"/>
        </w:rPr>
        <w:t>。一是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eastAsia="zh-CN"/>
        </w:rPr>
        <w:t>规范支部建设，完成支委补选，建立动态报备机制；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eastAsia="zh-CN"/>
        </w:rPr>
        <w:t>强化党务培训与记录抽查，提升“三会一课”规范化水平；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eastAsia="zh-CN"/>
        </w:rPr>
        <w:t>精准核定党费基数，完善收缴流程，确保党费管理规范有序。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val="en-US" w:eastAsia="zh-CN"/>
        </w:rPr>
        <w:t>3.严肃政治生活，强化党性锤炼。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eastAsia="zh-CN"/>
        </w:rPr>
        <w:t>组织专题学习，严格规范党内称呼，全程使用“同志”及党内职务；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position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pacing w:val="0"/>
          <w:w w:val="100"/>
          <w:position w:val="0"/>
          <w:sz w:val="32"/>
          <w:szCs w:val="32"/>
          <w:lang w:eastAsia="zh-CN"/>
        </w:rPr>
        <w:t>抓实批评与自我批评环节，带头深刻自我检视，杜绝避重就轻、以自评代替互评，切实达到“红红脸、出出汗”的效果。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kern w:val="2"/>
          <w:position w:val="0"/>
          <w:sz w:val="32"/>
          <w:szCs w:val="24"/>
          <w:lang w:val="en-US" w:eastAsia="zh-CN" w:bidi="ar-SA"/>
        </w:rPr>
        <w:t>4.聚焦新就业群体，增强服务效能。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摸排党员情况，积极发展优秀人员向党组织靠拢；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二是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联动工会搭建协同机制，切实维护新就业群体劳动权益；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三是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常态化开展暖心服务，畅通诉求渠道，精准办结各类诉求。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630" w:leftChars="0"/>
        <w:textAlignment w:val="auto"/>
        <w:rPr>
          <w:rFonts w:hint="eastAsia" w:ascii="Times New Roman" w:hAnsi="Times New Roman" w:eastAsia="黑体" w:cs="方正黑体_GBK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Times New Roman" w:hAnsi="黑体" w:eastAsia="黑体" w:cs="方正黑体_GBK"/>
          <w:color w:val="auto"/>
          <w:spacing w:val="0"/>
          <w:sz w:val="32"/>
          <w:szCs w:val="32"/>
          <w:u w:val="none" w:color="auto"/>
          <w:lang w:eastAsia="zh-CN"/>
        </w:rPr>
        <w:t>三、</w:t>
      </w:r>
      <w:r>
        <w:rPr>
          <w:rFonts w:hint="eastAsia" w:ascii="Times New Roman" w:hAnsi="黑体" w:eastAsia="黑体" w:cs="方正黑体_GBK"/>
          <w:color w:val="auto"/>
          <w:spacing w:val="0"/>
          <w:sz w:val="32"/>
          <w:szCs w:val="32"/>
          <w:u w:val="none" w:color="auto"/>
        </w:rPr>
        <w:t>下一步整改工作安排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0"/>
          <w:sz w:val="32"/>
          <w:szCs w:val="32"/>
          <w:u w:val="none" w:color="auto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0"/>
          <w:sz w:val="32"/>
          <w:szCs w:val="32"/>
          <w:u w:val="none" w:color="auto"/>
        </w:rPr>
        <w:t>强化思想引领，筑牢政治根基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0"/>
          <w:sz w:val="32"/>
          <w:szCs w:val="32"/>
          <w:u w:val="none" w:color="auto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u w:val="none" w:color="auto"/>
        </w:rPr>
        <w:t>深学细悟习近平新时代中国特色社会主义思想，严格落实“第一议题”制度，常态化开展政策学习与警示教育，坚决杜绝“过关思想”，以高度政治自觉深化巡察整改。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0"/>
          <w:sz w:val="32"/>
          <w:szCs w:val="32"/>
          <w:u w:val="none" w:color="auto"/>
          <w:lang w:val="en-US" w:eastAsia="zh-CN"/>
        </w:rPr>
        <w:t>二是压实整改责任，健全长效机制。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u w:val="none" w:color="auto"/>
        </w:rPr>
        <w:t>扛牢整改主体责任，建章立制贯穿全程，针对重点领域健全常态化监管机制，固化闭环流程、强化数字管控，严防问题反弹，确保整改成效长效化。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pacing w:val="0"/>
          <w:sz w:val="32"/>
          <w:szCs w:val="32"/>
          <w:u w:val="none" w:color="auto"/>
          <w:lang w:val="en-US" w:eastAsia="zh-CN"/>
        </w:rPr>
        <w:t>三是深化成果运用，赋能社区发展。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u w:val="none" w:color="auto"/>
        </w:rPr>
        <w:t>以巡促改、以巡促建、以巡促治，将整改成效转化为制度成果，深度融合基层治理、民生服务等重点工作，全面提升社区治理效能，助力辖区高质量发展。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u w:val="none" w:color="auto"/>
          <w:lang w:val="en-US" w:eastAsia="zh-CN" w:bidi="ar-SA"/>
        </w:rPr>
        <w:t>欢迎广大干部群众对巡察整改落实情况进行监督。如有意见建议，请及时向我们反映。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Times New Roman" w:hAnsi="Times New Roman" w:eastAsia="仿宋_GB2312"/>
          <w:color w:val="auto"/>
          <w:spacing w:val="0"/>
          <w:sz w:val="32"/>
          <w:szCs w:val="32"/>
          <w:u w:val="none" w:color="auto"/>
          <w:lang w:eastAsia="zh-CN"/>
        </w:rPr>
      </w:pPr>
      <w:r>
        <w:rPr>
          <w:rFonts w:ascii="Times New Roman" w:hAnsi="Times New Roman" w:eastAsia="仿宋_GB2312"/>
          <w:color w:val="auto"/>
          <w:spacing w:val="0"/>
          <w:sz w:val="32"/>
          <w:szCs w:val="32"/>
          <w:u w:val="none" w:color="auto"/>
        </w:rPr>
        <w:t>中共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 w:color="auto"/>
          <w:lang w:eastAsia="zh-CN"/>
        </w:rPr>
        <w:t>深圳市福田区福保街道新港社区</w:t>
      </w: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u w:val="none" w:color="auto"/>
          <w:lang w:val="en-US" w:eastAsia="zh-CN"/>
        </w:rPr>
        <w:t>委员会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0"/>
          <w:sz w:val="32"/>
          <w:szCs w:val="32"/>
          <w:u w:val="non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2026年4月10日</w:t>
      </w:r>
    </w:p>
    <w:sectPr>
      <w:footerReference r:id="rId3" w:type="default"/>
      <w:pgSz w:w="11906" w:h="16838"/>
      <w:pgMar w:top="1361" w:right="1361" w:bottom="1361" w:left="136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77900"/>
    <w:multiLevelType w:val="singleLevel"/>
    <w:tmpl w:val="5DF779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14E19"/>
    <w:rsid w:val="0167795A"/>
    <w:rsid w:val="07011117"/>
    <w:rsid w:val="20214E19"/>
    <w:rsid w:val="23EB2A39"/>
    <w:rsid w:val="2FC7196E"/>
    <w:rsid w:val="37103535"/>
    <w:rsid w:val="A77D288E"/>
    <w:rsid w:val="BE7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1203</Words>
  <Characters>1215</Characters>
  <Lines>0</Lines>
  <Paragraphs>0</Paragraphs>
  <TotalTime>0</TotalTime>
  <ScaleCrop>false</ScaleCrop>
  <LinksUpToDate>false</LinksUpToDate>
  <CharactersWithSpaces>1219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2026-04-11T02:07:00Z</dcterms:created>
  <dc:creator>Erika</dc:creator>
  <cp:lastModifiedBy>LuzyZ</cp:lastModifiedBy>
  <dcterms:modified xsi:type="dcterms:W3CDTF">2026-05-21T02:17:58Z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55A7E8A84B2E8D4262BEF169767D94DF</vt:lpwstr>
  </property>
  <property fmtid="{D5CDD505-2E9C-101B-9397-08002B2CF9AE}" pid="4" name="KSOTemplateDocerSaveRecord">
    <vt:lpwstr>eyJoZGlkIjoiYTk2NjdlNmRjMTkxMGVkNTMxZTQ2YjE1ZjZhMzhjZWIiLCJ1c2VySWQiOiI0MjM2MDU2MzYifQ==</vt:lpwstr>
  </property>
</Properties>
</file>