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A48DBE">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default" w:ascii="方正小标宋简体" w:hAnsi="方正小标宋简体" w:eastAsia="方正小标宋简体" w:cs="方正小标宋简体"/>
          <w:sz w:val="44"/>
          <w:szCs w:val="44"/>
          <w:highlight w:val="none"/>
          <w:lang w:val="en-US" w:eastAsia="zh-CN"/>
        </w:rPr>
      </w:pPr>
      <w:bookmarkStart w:id="0" w:name="_GoBack"/>
      <w:bookmarkEnd w:id="0"/>
      <w:r>
        <w:rPr>
          <w:rFonts w:hint="eastAsia" w:ascii="方正小标宋简体" w:hAnsi="方正小标宋简体" w:eastAsia="方正小标宋简体" w:cs="方正小标宋简体"/>
          <w:sz w:val="44"/>
          <w:szCs w:val="44"/>
          <w:highlight w:val="none"/>
          <w:lang w:val="en-US" w:eastAsia="zh-CN"/>
        </w:rPr>
        <w:t>华富街道老旧小区改造工程预算审核服务</w:t>
      </w:r>
    </w:p>
    <w:p w14:paraId="77955B56">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采购需求书</w:t>
      </w:r>
    </w:p>
    <w:p w14:paraId="16FCCA6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hAnsi="sans-serif" w:eastAsia="仿宋_GB2312" w:cs="仿宋_GB2312"/>
          <w:i w:val="0"/>
          <w:caps w:val="0"/>
          <w:color w:val="000000"/>
          <w:spacing w:val="0"/>
          <w:sz w:val="31"/>
          <w:szCs w:val="31"/>
          <w:lang w:eastAsia="zh-CN"/>
        </w:rPr>
      </w:pPr>
    </w:p>
    <w:p w14:paraId="10D5601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一、项目概况</w:t>
      </w:r>
    </w:p>
    <w:p w14:paraId="6CBF6E3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1.项目名称：华富街道老旧小区改造工程</w:t>
      </w:r>
    </w:p>
    <w:p w14:paraId="2052FC1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2.项目概况及建设规模：本项目位于福田区华富街道，拟对福莲花园、振业花园</w:t>
      </w:r>
      <w:r>
        <w:rPr>
          <w:rFonts w:hint="eastAsia" w:ascii="仿宋_GB2312" w:hAnsi="仿宋_GB2312" w:eastAsia="仿宋_GB2312" w:cs="仿宋_GB2312"/>
          <w:bCs/>
          <w:kern w:val="2"/>
          <w:sz w:val="32"/>
          <w:szCs w:val="32"/>
          <w:highlight w:val="none"/>
          <w:lang w:val="en-US" w:eastAsia="zh-CN" w:bidi="ar-SA"/>
        </w:rPr>
        <w:t>、长福花园、现代苑进行改造，总建筑面积231375㎡。改造内容为：市政配套基础设施改造提升以及小区内建筑物屋面、外墙、楼梯等公共部位维修等。其中，市政配套基础设施改造提升包括小区内部及与小区联系的供水、排水、供电、弱电、道路、供气、消防、安防、生活垃圾分类、移动通信等基础设施，以及光纤入户、架空线规整(入地)等。项目总投资匡算为2976万元，其中:建筑安装工程费2404.34万</w:t>
      </w:r>
      <w:r>
        <w:rPr>
          <w:rFonts w:hint="eastAsia" w:ascii="仿宋_GB2312" w:hAnsi="仿宋_GB2312" w:eastAsia="仿宋_GB2312" w:cs="仿宋_GB2312"/>
          <w:bCs/>
          <w:kern w:val="2"/>
          <w:sz w:val="32"/>
          <w:szCs w:val="32"/>
          <w:lang w:val="en-US" w:eastAsia="zh-CN" w:bidi="ar-SA"/>
        </w:rPr>
        <w:t>元，工程建设其他费351.34万元，预备费220.32万元。最终以概算批复金额为准，资金来源为区财政统筹。</w:t>
      </w:r>
    </w:p>
    <w:p w14:paraId="275A32C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kern w:val="2"/>
          <w:sz w:val="32"/>
          <w:szCs w:val="32"/>
          <w:highlight w:val="none"/>
          <w:lang w:val="en-US" w:eastAsia="zh-CN" w:bidi="ar-SA"/>
        </w:rPr>
      </w:pPr>
      <w:r>
        <w:rPr>
          <w:rFonts w:hint="eastAsia" w:ascii="仿宋_GB2312" w:hAnsi="仿宋_GB2312" w:eastAsia="仿宋_GB2312" w:cs="仿宋_GB2312"/>
          <w:bCs/>
          <w:kern w:val="2"/>
          <w:sz w:val="32"/>
          <w:szCs w:val="32"/>
          <w:highlight w:val="none"/>
          <w:lang w:val="en-US" w:eastAsia="zh-CN" w:bidi="ar-SA"/>
        </w:rPr>
        <w:t>3.服务范围：</w:t>
      </w:r>
      <w:r>
        <w:rPr>
          <w:rFonts w:hint="eastAsia" w:ascii="仿宋_GB2312" w:hAnsi="仿宋_GB2312" w:eastAsia="仿宋_GB2312" w:cs="仿宋_GB2312"/>
          <w:bCs/>
          <w:kern w:val="2"/>
          <w:sz w:val="32"/>
          <w:szCs w:val="32"/>
          <w:highlight w:val="none"/>
          <w:u w:val="none"/>
          <w:lang w:val="en-US" w:eastAsia="zh-CN" w:bidi="ar-SA"/>
        </w:rPr>
        <w:t xml:space="preserve">负责对采购人委托的工程项目（包括但不限于建筑工程、市政工程、装饰装修工程、安装工程等）的施工图预算、工程量清单、招标控制价进行审核。主要审核其合法性、合规性、准确性和完整性 </w:t>
      </w:r>
      <w:r>
        <w:rPr>
          <w:rFonts w:hint="eastAsia" w:ascii="仿宋_GB2312" w:hAnsi="仿宋_GB2312" w:eastAsia="仿宋_GB2312" w:cs="仿宋_GB2312"/>
          <w:bCs/>
          <w:kern w:val="2"/>
          <w:sz w:val="32"/>
          <w:szCs w:val="32"/>
          <w:highlight w:val="none"/>
          <w:lang w:val="en-US" w:eastAsia="zh-CN" w:bidi="ar-SA"/>
        </w:rPr>
        <w:t>。</w:t>
      </w:r>
    </w:p>
    <w:p w14:paraId="54966A5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bCs/>
          <w:kern w:val="2"/>
          <w:sz w:val="32"/>
          <w:szCs w:val="32"/>
          <w:highlight w:val="none"/>
          <w:lang w:val="en-US" w:eastAsia="zh-CN" w:bidi="ar-SA"/>
        </w:rPr>
      </w:pPr>
      <w:r>
        <w:rPr>
          <w:rFonts w:hint="eastAsia" w:ascii="仿宋_GB2312" w:hAnsi="仿宋_GB2312" w:eastAsia="仿宋_GB2312" w:cs="仿宋_GB2312"/>
          <w:bCs/>
          <w:kern w:val="2"/>
          <w:sz w:val="32"/>
          <w:szCs w:val="32"/>
          <w:highlight w:val="none"/>
          <w:lang w:val="en-US" w:eastAsia="zh-CN" w:bidi="ar-SA"/>
        </w:rPr>
        <w:t>4.最高投标限价（含税）：</w:t>
      </w:r>
      <w:r>
        <w:rPr>
          <w:rFonts w:hint="eastAsia" w:ascii="仿宋_GB2312" w:hAnsi="仿宋_GB2312" w:eastAsia="仿宋_GB2312" w:cs="仿宋_GB2312"/>
          <w:color w:val="auto"/>
          <w:sz w:val="32"/>
          <w:szCs w:val="32"/>
          <w:highlight w:val="none"/>
          <w:lang w:val="en-US" w:eastAsia="zh-CN"/>
        </w:rPr>
        <w:t>55895元，</w:t>
      </w:r>
      <w:r>
        <w:rPr>
          <w:rFonts w:hint="eastAsia" w:ascii="仿宋_GB2312" w:hAnsi="仿宋_GB2312" w:eastAsia="仿宋_GB2312" w:cs="仿宋_GB2312"/>
          <w:sz w:val="32"/>
          <w:szCs w:val="32"/>
          <w:highlight w:val="none"/>
          <w:lang w:val="en-US" w:eastAsia="zh-CN"/>
        </w:rPr>
        <w:t>按费率下浮，最小下浮率为0.5%。</w:t>
      </w:r>
      <w:r>
        <w:rPr>
          <w:rFonts w:hint="eastAsia" w:ascii="仿宋_GB2312" w:hAnsi="仿宋_GB2312" w:eastAsia="仿宋_GB2312" w:cs="仿宋_GB2312"/>
          <w:color w:val="auto"/>
          <w:sz w:val="32"/>
          <w:szCs w:val="32"/>
          <w:highlight w:val="none"/>
          <w:lang w:val="en-US" w:eastAsia="zh-CN"/>
        </w:rPr>
        <w:t>（计费依据：拟参考《深圳市建设工程造价咨询业收费市场价格》(深价协〔2017〕14号)执行）。</w:t>
      </w:r>
    </w:p>
    <w:p w14:paraId="36CE975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kern w:val="2"/>
          <w:sz w:val="32"/>
          <w:szCs w:val="32"/>
          <w:highlight w:val="none"/>
          <w:lang w:val="en-US" w:eastAsia="zh-CN" w:bidi="ar-SA"/>
        </w:rPr>
      </w:pPr>
      <w:r>
        <w:rPr>
          <w:rFonts w:hint="eastAsia" w:ascii="仿宋_GB2312" w:hAnsi="仿宋_GB2312" w:eastAsia="仿宋_GB2312" w:cs="仿宋_GB2312"/>
          <w:bCs/>
          <w:kern w:val="2"/>
          <w:sz w:val="32"/>
          <w:szCs w:val="32"/>
          <w:highlight w:val="none"/>
          <w:lang w:val="en-US" w:eastAsia="zh-CN" w:bidi="ar-SA"/>
        </w:rPr>
        <w:t>5.服务期限：自合同签订之日起至所有审核服务完成之日止；接到采购人提供的完整资料后，10个工作日内提交初步审核意见，15个工作日内出具正式审核报告。</w:t>
      </w:r>
    </w:p>
    <w:p w14:paraId="6D090AB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bCs/>
          <w:kern w:val="2"/>
          <w:sz w:val="32"/>
          <w:szCs w:val="32"/>
          <w:highlight w:val="none"/>
          <w:lang w:val="en-US" w:eastAsia="zh-CN" w:bidi="ar-SA"/>
        </w:rPr>
      </w:pPr>
      <w:r>
        <w:rPr>
          <w:rFonts w:hint="eastAsia" w:ascii="仿宋_GB2312" w:hAnsi="仿宋_GB2312" w:eastAsia="仿宋_GB2312" w:cs="仿宋_GB2312"/>
          <w:bCs/>
          <w:kern w:val="2"/>
          <w:sz w:val="32"/>
          <w:szCs w:val="32"/>
          <w:highlight w:val="none"/>
          <w:lang w:val="en-US" w:eastAsia="zh-CN" w:bidi="ar-SA"/>
        </w:rPr>
        <w:t>6.资格审查方式：资格后审。</w:t>
      </w:r>
    </w:p>
    <w:p w14:paraId="5F9C298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二、服务内容及要求</w:t>
      </w:r>
    </w:p>
    <w:p w14:paraId="1C8303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highlight w:val="none"/>
        </w:rPr>
      </w:pPr>
      <w:r>
        <w:rPr>
          <w:rFonts w:hint="default" w:ascii="仿宋_GB2312" w:hAnsi="仿宋_GB2312" w:eastAsia="仿宋_GB2312" w:cs="仿宋_GB2312"/>
          <w:b w:val="0"/>
          <w:bCs/>
          <w:sz w:val="32"/>
          <w:szCs w:val="32"/>
          <w:highlight w:val="none"/>
          <w:lang w:val="en-US"/>
        </w:rPr>
        <w:t>1.审核工程量清单是否完整、准确，有无漏项或重复</w:t>
      </w:r>
      <w:r>
        <w:rPr>
          <w:rFonts w:hint="eastAsia" w:ascii="仿宋_GB2312" w:hAnsi="仿宋_GB2312" w:eastAsia="仿宋_GB2312" w:cs="仿宋_GB2312"/>
          <w:b w:val="0"/>
          <w:bCs/>
          <w:sz w:val="32"/>
          <w:szCs w:val="32"/>
          <w:highlight w:val="none"/>
          <w:lang w:val="en-US" w:eastAsia="zh-CN"/>
        </w:rPr>
        <w:t>；</w:t>
      </w:r>
    </w:p>
    <w:p w14:paraId="726DAB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highlight w:val="none"/>
          <w:lang w:eastAsia="zh-CN"/>
        </w:rPr>
      </w:pPr>
      <w:r>
        <w:rPr>
          <w:rFonts w:hint="eastAsia" w:ascii="仿宋_GB2312" w:hAnsi="仿宋_GB2312" w:eastAsia="仿宋_GB2312" w:cs="仿宋_GB2312"/>
          <w:b w:val="0"/>
          <w:bCs/>
          <w:sz w:val="32"/>
          <w:szCs w:val="32"/>
          <w:highlight w:val="none"/>
          <w:lang w:val="en-US" w:eastAsia="zh-CN"/>
        </w:rPr>
        <w:t>2</w:t>
      </w:r>
      <w:r>
        <w:rPr>
          <w:rFonts w:hint="default" w:ascii="仿宋_GB2312" w:hAnsi="仿宋_GB2312" w:eastAsia="仿宋_GB2312" w:cs="仿宋_GB2312"/>
          <w:b w:val="0"/>
          <w:bCs/>
          <w:sz w:val="32"/>
          <w:szCs w:val="32"/>
          <w:highlight w:val="none"/>
          <w:lang w:val="en-US"/>
        </w:rPr>
        <w:t>.</w:t>
      </w:r>
      <w:r>
        <w:rPr>
          <w:rFonts w:hint="default" w:ascii="仿宋_GB2312" w:hAnsi="仿宋_GB2312" w:eastAsia="仿宋_GB2312" w:cs="仿宋_GB2312"/>
          <w:bCs/>
          <w:sz w:val="32"/>
          <w:szCs w:val="32"/>
          <w:highlight w:val="none"/>
        </w:rPr>
        <w:t>审核预算定额套用、取费标准、材料设备价格是否合理合规</w:t>
      </w:r>
      <w:r>
        <w:rPr>
          <w:rFonts w:hint="eastAsia" w:ascii="仿宋_GB2312" w:hAnsi="仿宋_GB2312" w:eastAsia="仿宋_GB2312" w:cs="仿宋_GB2312"/>
          <w:b w:val="0"/>
          <w:bCs/>
          <w:sz w:val="32"/>
          <w:szCs w:val="32"/>
          <w:highlight w:val="none"/>
          <w:lang w:eastAsia="zh-CN"/>
        </w:rPr>
        <w:t>；</w:t>
      </w:r>
    </w:p>
    <w:p w14:paraId="37638A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3.审核施工图预算是否控制在概算或匡算（建安费）限额以内；</w:t>
      </w:r>
    </w:p>
    <w:p w14:paraId="08CE3F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4.对比分析概算价与预算的差异，找出超概原因（如涉及）；</w:t>
      </w:r>
    </w:p>
    <w:p w14:paraId="70B407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5.出具规范的预算审核报告及详细的工程量计算稿；</w:t>
      </w:r>
    </w:p>
    <w:p w14:paraId="692FC0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6.审核报告必须实事求是、客观公正、数据准确、依据充分；</w:t>
      </w:r>
    </w:p>
    <w:p w14:paraId="4EBDBE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7.审核发现的问题需列出清单，并提出整改建议或管理意见书；</w:t>
      </w:r>
    </w:p>
    <w:p w14:paraId="127DFE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8.成果文件（含电子光盘）需包括：审核报告、审定书、工程量计算书、主要材料价格对比表等；</w:t>
      </w:r>
    </w:p>
    <w:p w14:paraId="35A3CC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9.供应商须严格遵守职业道德和廉洁纪律，不得收受施工方或其他利害关系人的财物；</w:t>
      </w:r>
    </w:p>
    <w:p w14:paraId="01B272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10.对执行业务过程中知悉的项目资料、数据信息严格保密，不得泄露或挪作他用。</w:t>
      </w:r>
    </w:p>
    <w:p w14:paraId="54316CC8">
      <w:pPr>
        <w:pStyle w:val="3"/>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textAlignment w:val="auto"/>
        <w:rPr>
          <w:rFonts w:hint="eastAsia"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结算方式</w:t>
      </w:r>
    </w:p>
    <w:p w14:paraId="7552F3DB">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按节点支付，无预付款。</w:t>
      </w:r>
    </w:p>
    <w:p w14:paraId="423732FD">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第一次：完成预算审核工作出具预算审核文件并提交最终成果经委托人认可后，委托人在收到咨询人的付款申请后支付至本咨询阶段核定咨询费的</w:t>
      </w:r>
      <w:r>
        <w:rPr>
          <w:rFonts w:hint="eastAsia" w:ascii="仿宋_GB2312" w:hAnsi="仿宋_GB2312" w:eastAsia="仿宋_GB2312" w:cs="仿宋_GB2312"/>
          <w:sz w:val="32"/>
          <w:szCs w:val="32"/>
          <w:highlight w:val="none"/>
          <w:lang w:val="en-US" w:eastAsia="zh-CN"/>
        </w:rPr>
        <w:t>95%。</w:t>
      </w:r>
    </w:p>
    <w:p w14:paraId="17AFAB28">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第二次：完成工程决算审核后，委托人按审核报告付清剩余咨询费用。</w:t>
      </w:r>
    </w:p>
    <w:p w14:paraId="07746351">
      <w:pPr>
        <w:pStyle w:val="3"/>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textAlignment w:val="auto"/>
        <w:rPr>
          <w:rFonts w:hint="eastAsia"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供应商资格要求</w:t>
      </w:r>
    </w:p>
    <w:p w14:paraId="46F2525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kern w:val="0"/>
          <w:sz w:val="32"/>
          <w:szCs w:val="32"/>
          <w:highlight w:val="none"/>
          <w:lang w:val="en-US" w:eastAsia="zh-CN"/>
        </w:rPr>
      </w:pPr>
      <w:r>
        <w:rPr>
          <w:rFonts w:hint="eastAsia" w:ascii="仿宋_GB2312" w:hAnsi="仿宋_GB2312" w:eastAsia="仿宋_GB2312" w:cs="仿宋_GB2312"/>
          <w:b w:val="0"/>
          <w:bCs/>
          <w:kern w:val="0"/>
          <w:sz w:val="32"/>
          <w:szCs w:val="32"/>
          <w:highlight w:val="none"/>
          <w:lang w:val="en-US" w:eastAsia="zh-CN"/>
        </w:rPr>
        <w:t>1.满足《中华人民共和国政府采购法》第二十二条规定。</w:t>
      </w:r>
    </w:p>
    <w:p w14:paraId="0545FCF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kern w:val="0"/>
          <w:sz w:val="32"/>
          <w:szCs w:val="32"/>
          <w:highlight w:val="none"/>
          <w:lang w:val="en-US" w:eastAsia="zh-CN"/>
        </w:rPr>
      </w:pPr>
      <w:r>
        <w:rPr>
          <w:rFonts w:hint="eastAsia" w:ascii="仿宋_GB2312" w:hAnsi="仿宋_GB2312" w:eastAsia="仿宋_GB2312" w:cs="仿宋_GB2312"/>
          <w:b w:val="0"/>
          <w:bCs/>
          <w:kern w:val="0"/>
          <w:sz w:val="32"/>
          <w:szCs w:val="32"/>
          <w:highlight w:val="none"/>
          <w:lang w:val="en-US" w:eastAsia="zh-CN"/>
        </w:rPr>
        <w:t>2.具有独立法人资格或是具有独立承担民事责任能力的其他组织，具备有效的工程造价咨询资质。（提供营业执照、事业单位法人证书或其他具有独立承担民事责任能力的登记证明资料复印件加盖投标人公章，原件备查）</w:t>
      </w:r>
    </w:p>
    <w:p w14:paraId="4B550E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kern w:val="0"/>
          <w:sz w:val="32"/>
          <w:szCs w:val="32"/>
          <w:highlight w:val="none"/>
          <w:lang w:val="en-US" w:eastAsia="zh-CN"/>
        </w:rPr>
      </w:pPr>
      <w:r>
        <w:rPr>
          <w:rFonts w:hint="eastAsia" w:ascii="仿宋_GB2312" w:hAnsi="仿宋_GB2312" w:eastAsia="仿宋_GB2312" w:cs="仿宋_GB2312"/>
          <w:b w:val="0"/>
          <w:bCs/>
          <w:kern w:val="0"/>
          <w:sz w:val="32"/>
          <w:szCs w:val="32"/>
          <w:highlight w:val="none"/>
          <w:lang w:val="en-US" w:eastAsia="zh-CN"/>
        </w:rPr>
        <w:t>3.参与本项目投标前三年内，在经营活动中没有重大违法记录。</w:t>
      </w:r>
    </w:p>
    <w:p w14:paraId="25FF1F4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kern w:val="0"/>
          <w:sz w:val="32"/>
          <w:szCs w:val="32"/>
          <w:highlight w:val="none"/>
          <w:lang w:val="en-US" w:eastAsia="zh-CN"/>
        </w:rPr>
      </w:pPr>
      <w:r>
        <w:rPr>
          <w:rFonts w:hint="eastAsia" w:ascii="仿宋_GB2312" w:hAnsi="仿宋_GB2312" w:eastAsia="仿宋_GB2312" w:cs="仿宋_GB2312"/>
          <w:b w:val="0"/>
          <w:bCs/>
          <w:kern w:val="0"/>
          <w:sz w:val="32"/>
          <w:szCs w:val="32"/>
          <w:highlight w:val="none"/>
          <w:lang w:val="en-US" w:eastAsia="zh-CN"/>
        </w:rPr>
        <w:t>4.未被列入失信被执行人、重大税收违法案件当事人名单、政府采购严重违法失信行为记录名单。</w:t>
      </w:r>
    </w:p>
    <w:p w14:paraId="0E8A3B4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kern w:val="0"/>
          <w:sz w:val="32"/>
          <w:szCs w:val="32"/>
          <w:highlight w:val="none"/>
          <w:lang w:val="en-US" w:eastAsia="zh-CN"/>
        </w:rPr>
      </w:pPr>
      <w:r>
        <w:rPr>
          <w:rFonts w:hint="eastAsia" w:ascii="仿宋_GB2312" w:hAnsi="仿宋_GB2312" w:eastAsia="仿宋_GB2312" w:cs="仿宋_GB2312"/>
          <w:b w:val="0"/>
          <w:bCs/>
          <w:kern w:val="0"/>
          <w:sz w:val="32"/>
          <w:szCs w:val="32"/>
          <w:highlight w:val="none"/>
          <w:lang w:val="en-US" w:eastAsia="zh-CN"/>
        </w:rPr>
        <w:t>5.不同投标供应商的法定代表人、主要经营负责人、投标授权代表人、项目负责人、主要技术人员是否为同一人、属同一单位或者在同一单位缴纳社会保险；单位负责人为同一人或者存在直接控股、管理关系的不同供应商，不得同时参加本项目政府采购活动。（由供应商填写《供应商基本情况表》，如发现不同投标供应商的相关信息存在上述“不得”的情形，作投标无效处理）</w:t>
      </w:r>
    </w:p>
    <w:p w14:paraId="084FBAB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kern w:val="0"/>
          <w:sz w:val="32"/>
          <w:szCs w:val="32"/>
          <w:highlight w:val="none"/>
          <w:lang w:val="en-US" w:eastAsia="zh-CN"/>
        </w:rPr>
      </w:pPr>
      <w:r>
        <w:rPr>
          <w:rFonts w:hint="eastAsia" w:ascii="仿宋_GB2312" w:hAnsi="仿宋_GB2312" w:eastAsia="仿宋_GB2312" w:cs="仿宋_GB2312"/>
          <w:b w:val="0"/>
          <w:bCs/>
          <w:kern w:val="0"/>
          <w:sz w:val="32"/>
          <w:szCs w:val="32"/>
          <w:highlight w:val="none"/>
          <w:lang w:val="en-US" w:eastAsia="zh-CN"/>
        </w:rPr>
        <w:t>6.供应商拟派项目负责人须具备有效的注册造价工程师资格。</w:t>
      </w:r>
    </w:p>
    <w:p w14:paraId="2913060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highlight w:val="none"/>
          <w:lang w:val="en-US" w:eastAsia="zh-CN"/>
        </w:rPr>
        <w:t>注：（1）“信用中国”（www.creditchina.gov.cn）、“中国政府采购网”（www.ccgp.gov.cn）、“</w:t>
      </w:r>
      <w:r>
        <w:rPr>
          <w:rFonts w:hint="eastAsia" w:ascii="仿宋_GB2312" w:hAnsi="仿宋_GB2312" w:eastAsia="仿宋_GB2312" w:cs="仿宋_GB2312"/>
          <w:b w:val="0"/>
          <w:bCs/>
          <w:kern w:val="0"/>
          <w:sz w:val="32"/>
          <w:szCs w:val="32"/>
          <w:lang w:val="en-US" w:eastAsia="zh-CN"/>
        </w:rPr>
        <w:t>深圳市政府采购监管网”（http://zfcg.sz.gov.cn）以及市、区财政部门认定的其他渠道为供应商信用信息的查询渠道，相关信息以采购方开标当日的查询结果为准。</w:t>
      </w:r>
    </w:p>
    <w:p w14:paraId="4541C962">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kern w:val="0"/>
          <w:sz w:val="32"/>
          <w:szCs w:val="32"/>
          <w:highlight w:val="none"/>
          <w:lang w:val="en-US" w:eastAsia="zh-CN"/>
        </w:rPr>
      </w:pPr>
      <w:r>
        <w:rPr>
          <w:rFonts w:hint="eastAsia" w:ascii="仿宋_GB2312" w:hAnsi="仿宋_GB2312" w:eastAsia="仿宋_GB2312" w:cs="仿宋_GB2312"/>
          <w:b w:val="0"/>
          <w:bCs/>
          <w:kern w:val="0"/>
          <w:sz w:val="32"/>
          <w:szCs w:val="32"/>
          <w:lang w:val="en-US" w:eastAsia="zh-CN"/>
        </w:rPr>
        <w:t>（2）供应商之间单位负责人是否为同一人或者是否存在直接控股、管理关系，以国家企业信用信息公示系统（https://www.gsxt.gov.cn/index.html）、机关赋码和事业单位登记管理网（https://gjsy.scopsr.gov.cn/tzgg/）、全国社会组织信用信息公示平台（https://xxgs.chinanpo.mca.gov.cn/gsxt/newList）等网站</w:t>
      </w:r>
      <w:r>
        <w:rPr>
          <w:rFonts w:hint="eastAsia" w:ascii="仿宋_GB2312" w:hAnsi="仿宋_GB2312" w:eastAsia="仿宋_GB2312" w:cs="仿宋_GB2312"/>
          <w:b w:val="0"/>
          <w:bCs/>
          <w:kern w:val="0"/>
          <w:sz w:val="32"/>
          <w:szCs w:val="32"/>
          <w:highlight w:val="none"/>
          <w:lang w:val="en-US" w:eastAsia="zh-CN"/>
        </w:rPr>
        <w:t>的查询结果为准。</w:t>
      </w:r>
    </w:p>
    <w:p w14:paraId="2277E00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响应须知</w:t>
      </w:r>
    </w:p>
    <w:p w14:paraId="45A4AFE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（一）公示时间</w:t>
      </w:r>
    </w:p>
    <w:p w14:paraId="6A3CAF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280" w:firstLineChars="4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2026年4 月 9日至 2026 年 4月 15日</w:t>
      </w:r>
    </w:p>
    <w:p w14:paraId="0E130B0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（二）响应文件要求及递交方式</w:t>
      </w:r>
    </w:p>
    <w:p w14:paraId="2921C0D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1.响应文件至少包含：</w:t>
      </w:r>
    </w:p>
    <w:p w14:paraId="4B91D71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（1）营业执照（提供复印件且加盖公章，原件备查）；</w:t>
      </w:r>
    </w:p>
    <w:p w14:paraId="53D3886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highlight w:val="none"/>
          <w:lang w:val="en-US" w:eastAsia="zh-CN"/>
        </w:rPr>
        <w:t>投标供应商无违法违规行为承诺书（详见附件2）；</w:t>
      </w:r>
    </w:p>
    <w:p w14:paraId="23CFDDA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（3）审核服务方案；</w:t>
      </w:r>
    </w:p>
    <w:p w14:paraId="6988824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（4）项目人员配备情况（需提供项目人员近6个月社保缴纳证明和相应资格证书证明材料复印件）；</w:t>
      </w:r>
    </w:p>
    <w:p w14:paraId="5E9F59D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（5）项目负责人资历（提供项目负责人近6个月社保缴纳证明、相应资格证书、主持同类业绩证明材料复印件并加盖公章，原件备查）；</w:t>
      </w:r>
    </w:p>
    <w:p w14:paraId="38B2E5E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（6）报价单（最高投标限价（含税）55895元（按费率下浮，最小下浮率为0.5%）,需加盖单位公章及法定代表人签字，超出或未盖章签字按无效标处理）；</w:t>
      </w:r>
    </w:p>
    <w:p w14:paraId="68520D3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（7）法人身份证复印件、法人证明及响应文件签署授权委托书；</w:t>
      </w:r>
    </w:p>
    <w:p w14:paraId="16E79A6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（8）供应商基本情况表（详见附件3）。</w:t>
      </w:r>
    </w:p>
    <w:p w14:paraId="1A04D29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注：所有上交材料一式一份，并提供电子版及扫描件刻录光盘（U盘）；递交材料均需密封及加盖公章，否则按无效标处理。</w:t>
      </w:r>
    </w:p>
    <w:p w14:paraId="2B90BE0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2.响应文件提交时间及方式：</w:t>
      </w:r>
    </w:p>
    <w:p w14:paraId="6564981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截止时间： </w:t>
      </w:r>
      <w:r>
        <w:rPr>
          <w:rFonts w:hint="eastAsia" w:ascii="仿宋_GB2312" w:hAnsi="仿宋_GB2312" w:eastAsia="仿宋_GB2312" w:cs="仿宋_GB2312"/>
          <w:b/>
          <w:bCs/>
          <w:sz w:val="32"/>
          <w:szCs w:val="32"/>
          <w:lang w:val="en-US" w:eastAsia="zh-CN"/>
        </w:rPr>
        <w:t xml:space="preserve"> 2026 年 4 月 15 日 12 点 00 分</w:t>
      </w:r>
    </w:p>
    <w:p w14:paraId="6AF66BF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开标流程：线下开标。</w:t>
      </w:r>
    </w:p>
    <w:p w14:paraId="13CF2D1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递交地址及联系人：深圳市福田区笋岗西路莲花一村美莲大厦17栋附楼1楼华富街道经济与城市建设发展指挥部城建办。</w:t>
      </w:r>
      <w:r>
        <w:rPr>
          <w:rFonts w:hint="eastAsia" w:ascii="仿宋_GB2312" w:hAnsi="仿宋_GB2312" w:eastAsia="仿宋_GB2312" w:cs="仿宋_GB2312"/>
          <w:sz w:val="32"/>
          <w:szCs w:val="32"/>
          <w:highlight w:val="none"/>
          <w:lang w:val="en-US" w:eastAsia="zh-CN"/>
        </w:rPr>
        <w:t>联系人：杨工，</w:t>
      </w:r>
      <w:r>
        <w:rPr>
          <w:rFonts w:hint="eastAsia" w:ascii="仿宋_GB2312" w:hAnsi="仿宋_GB2312" w:eastAsia="仿宋_GB2312" w:cs="仿宋_GB2312"/>
          <w:sz w:val="32"/>
          <w:szCs w:val="32"/>
          <w:lang w:val="en-US" w:eastAsia="zh-CN"/>
        </w:rPr>
        <w:t>联系方式：0755-23948096（本项目接受邮寄或上门递交，若采用邮寄方式，投标人须充分考虑快递时间，逾期不候）。</w:t>
      </w:r>
    </w:p>
    <w:p w14:paraId="1E17214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密封要求：响应文件应密封完好，并在所有封口处加盖单位公章。响应文件封面请注明项目名称、公司名称、联系人及联系电话。</w:t>
      </w:r>
    </w:p>
    <w:p w14:paraId="6635CA7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rPr>
        <w:t>（三）响应人经采购确定为本项目中选供应商后，最终咨询费用以福田区发展和改革局批复项目总概算为计费基数，依据相关收费标准计算，并在此基础上乘以中标下浮率后最终确定，最终结算金额以相关审核单位最终审定金额为准。响应人向采购人投递响应文件的，视为完全接受本条款。</w:t>
      </w:r>
    </w:p>
    <w:p w14:paraId="64F4A74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shd w:val="clear" w:color="auto" w:fill="auto"/>
          <w:lang w:val="en-US" w:eastAsia="zh-CN"/>
        </w:rPr>
      </w:pPr>
    </w:p>
    <w:p w14:paraId="076FD001">
      <w:pPr>
        <w:keepNext w:val="0"/>
        <w:keepLines w:val="0"/>
        <w:pageBreakBefore w:val="0"/>
        <w:widowControl w:val="0"/>
        <w:kinsoku/>
        <w:wordWrap/>
        <w:overflowPunct/>
        <w:topLinePunct w:val="0"/>
        <w:autoSpaceDE/>
        <w:autoSpaceDN/>
        <w:bidi w:val="0"/>
        <w:adjustRightInd/>
        <w:snapToGrid/>
        <w:spacing w:line="560" w:lineRule="exact"/>
        <w:ind w:left="0" w:leftChars="0" w:firstLine="5440" w:firstLineChars="1700"/>
        <w:jc w:val="left"/>
        <w:textAlignment w:val="auto"/>
        <w:rPr>
          <w:rFonts w:hint="eastAsia" w:ascii="仿宋" w:hAnsi="仿宋" w:eastAsia="仿宋" w:cs="仿宋"/>
          <w:sz w:val="32"/>
          <w:szCs w:val="32"/>
          <w:lang w:val="en-US" w:eastAsia="zh-CN"/>
        </w:rPr>
      </w:pPr>
    </w:p>
    <w:p w14:paraId="7434DC1B">
      <w:pPr>
        <w:keepNext w:val="0"/>
        <w:keepLines w:val="0"/>
        <w:pageBreakBefore w:val="0"/>
        <w:widowControl w:val="0"/>
        <w:kinsoku/>
        <w:wordWrap/>
        <w:overflowPunct/>
        <w:topLinePunct w:val="0"/>
        <w:autoSpaceDE/>
        <w:autoSpaceDN/>
        <w:bidi w:val="0"/>
        <w:adjustRightInd/>
        <w:snapToGrid/>
        <w:spacing w:line="560" w:lineRule="exact"/>
        <w:ind w:left="0" w:leftChars="0" w:firstLine="5440" w:firstLineChars="1700"/>
        <w:jc w:val="left"/>
        <w:textAlignment w:val="auto"/>
        <w:rPr>
          <w:rFonts w:hint="eastAsia" w:ascii="仿宋" w:hAnsi="仿宋" w:eastAsia="仿宋" w:cs="仿宋"/>
          <w:sz w:val="32"/>
          <w:szCs w:val="32"/>
          <w:lang w:val="en-US" w:eastAsia="zh-CN"/>
        </w:rPr>
      </w:pPr>
    </w:p>
    <w:p w14:paraId="4E8AE573">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 w:hAnsi="仿宋" w:eastAsia="仿宋" w:cs="仿宋"/>
          <w:sz w:val="32"/>
          <w:szCs w:val="32"/>
          <w:lang w:val="en-US" w:eastAsia="zh-CN"/>
        </w:rPr>
      </w:pPr>
    </w:p>
    <w:p w14:paraId="15D995D2">
      <w:pPr>
        <w:keepNext w:val="0"/>
        <w:keepLines w:val="0"/>
        <w:pageBreakBefore w:val="0"/>
        <w:widowControl w:val="0"/>
        <w:kinsoku/>
        <w:wordWrap/>
        <w:overflowPunct/>
        <w:topLinePunct w:val="0"/>
        <w:autoSpaceDE/>
        <w:autoSpaceDN/>
        <w:bidi w:val="0"/>
        <w:adjustRightInd/>
        <w:snapToGrid/>
        <w:spacing w:line="560" w:lineRule="exact"/>
        <w:ind w:left="0" w:leftChars="0" w:firstLine="5440" w:firstLineChars="17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福田区华富街道办事处</w:t>
      </w:r>
    </w:p>
    <w:p w14:paraId="0DFCD0C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仿宋_GB2312" w:hAnsi="仿宋_GB2312" w:eastAsia="仿宋_GB2312" w:cs="仿宋_GB2312"/>
          <w:b w:val="0"/>
          <w:bCs/>
          <w:kern w:val="0"/>
          <w:sz w:val="32"/>
          <w:szCs w:val="32"/>
          <w:lang w:val="en-US" w:eastAsia="zh-CN"/>
        </w:rPr>
      </w:pP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2026年4月9日</w:t>
      </w:r>
      <w:r>
        <w:rPr>
          <w:rFonts w:hint="default" w:ascii="仿宋" w:hAnsi="仿宋" w:eastAsia="仿宋" w:cs="仿宋"/>
          <w:sz w:val="32"/>
          <w:szCs w:val="32"/>
          <w:lang w:val="en-US" w:eastAsia="zh-CN"/>
        </w:rPr>
        <w:t xml:space="preserve"> </w:t>
      </w:r>
    </w:p>
    <w:p w14:paraId="53CC9C3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楷体_GB2312" w:hAnsi="楷体_GB2312" w:eastAsia="楷体_GB2312" w:cs="楷体_GB2312"/>
          <w:sz w:val="32"/>
          <w:szCs w:val="32"/>
          <w:lang w:val="en-US" w:eastAsia="zh-CN"/>
        </w:rPr>
      </w:pP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6F8988"/>
    <w:multiLevelType w:val="singleLevel"/>
    <w:tmpl w:val="EB6F8988"/>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92528E8"/>
    <w:rsid w:val="000E5ACB"/>
    <w:rsid w:val="016D6AC7"/>
    <w:rsid w:val="02497534"/>
    <w:rsid w:val="044C50BA"/>
    <w:rsid w:val="04CE5ACF"/>
    <w:rsid w:val="09344989"/>
    <w:rsid w:val="09DF614F"/>
    <w:rsid w:val="0ADD4CBE"/>
    <w:rsid w:val="0FFC3E38"/>
    <w:rsid w:val="10B65D95"/>
    <w:rsid w:val="10CC55B8"/>
    <w:rsid w:val="131E7C21"/>
    <w:rsid w:val="137141F5"/>
    <w:rsid w:val="19CD414F"/>
    <w:rsid w:val="1BFB5CA6"/>
    <w:rsid w:val="1CC61A56"/>
    <w:rsid w:val="1D556936"/>
    <w:rsid w:val="1E766B63"/>
    <w:rsid w:val="1F374545"/>
    <w:rsid w:val="1F3D58D3"/>
    <w:rsid w:val="202806BC"/>
    <w:rsid w:val="21F77FBB"/>
    <w:rsid w:val="239B0E1A"/>
    <w:rsid w:val="24BC729A"/>
    <w:rsid w:val="259D0E7A"/>
    <w:rsid w:val="281F64BE"/>
    <w:rsid w:val="2AA87313"/>
    <w:rsid w:val="2BB659CB"/>
    <w:rsid w:val="2CF300D6"/>
    <w:rsid w:val="2D723ED4"/>
    <w:rsid w:val="2E105B20"/>
    <w:rsid w:val="2FC736C3"/>
    <w:rsid w:val="35CE0B5D"/>
    <w:rsid w:val="35FFF167"/>
    <w:rsid w:val="36145188"/>
    <w:rsid w:val="3B987348"/>
    <w:rsid w:val="3D053A7C"/>
    <w:rsid w:val="3D080C2F"/>
    <w:rsid w:val="3E3C34CE"/>
    <w:rsid w:val="3F3E6EEB"/>
    <w:rsid w:val="3F834598"/>
    <w:rsid w:val="3FFB03E2"/>
    <w:rsid w:val="3FFFFEFA"/>
    <w:rsid w:val="40BA692C"/>
    <w:rsid w:val="413E755D"/>
    <w:rsid w:val="439B2A45"/>
    <w:rsid w:val="4401109E"/>
    <w:rsid w:val="449862A1"/>
    <w:rsid w:val="46B351A6"/>
    <w:rsid w:val="47084895"/>
    <w:rsid w:val="477E3C8B"/>
    <w:rsid w:val="498D2E30"/>
    <w:rsid w:val="49CF4238"/>
    <w:rsid w:val="49D722FD"/>
    <w:rsid w:val="4CEE1E37"/>
    <w:rsid w:val="4F251D5C"/>
    <w:rsid w:val="4F55619D"/>
    <w:rsid w:val="4FBF992A"/>
    <w:rsid w:val="4FDFC981"/>
    <w:rsid w:val="501716A5"/>
    <w:rsid w:val="513B09CD"/>
    <w:rsid w:val="5184720E"/>
    <w:rsid w:val="537A4831"/>
    <w:rsid w:val="53F30220"/>
    <w:rsid w:val="54B27BEE"/>
    <w:rsid w:val="55FDDF61"/>
    <w:rsid w:val="566273F2"/>
    <w:rsid w:val="56EBD6B6"/>
    <w:rsid w:val="573FD8EC"/>
    <w:rsid w:val="5851771E"/>
    <w:rsid w:val="58BE3729"/>
    <w:rsid w:val="5A3B2434"/>
    <w:rsid w:val="5ADC59C5"/>
    <w:rsid w:val="5BF48D02"/>
    <w:rsid w:val="5BF7EB22"/>
    <w:rsid w:val="5BFF26AD"/>
    <w:rsid w:val="5FCEFC1A"/>
    <w:rsid w:val="63514A76"/>
    <w:rsid w:val="63BC6393"/>
    <w:rsid w:val="654E74BF"/>
    <w:rsid w:val="66F44BFE"/>
    <w:rsid w:val="673F0CB4"/>
    <w:rsid w:val="67DB28E6"/>
    <w:rsid w:val="68F7C5E0"/>
    <w:rsid w:val="69CB5582"/>
    <w:rsid w:val="6DBF9914"/>
    <w:rsid w:val="6F7F5F3E"/>
    <w:rsid w:val="71105F71"/>
    <w:rsid w:val="72331F17"/>
    <w:rsid w:val="753E5355"/>
    <w:rsid w:val="765CE9D1"/>
    <w:rsid w:val="76AEFA10"/>
    <w:rsid w:val="76FB3597"/>
    <w:rsid w:val="776B6AD4"/>
    <w:rsid w:val="77766F86"/>
    <w:rsid w:val="77CF3BAB"/>
    <w:rsid w:val="77D667A3"/>
    <w:rsid w:val="77FF2476"/>
    <w:rsid w:val="780659D7"/>
    <w:rsid w:val="7A235069"/>
    <w:rsid w:val="7AFF203C"/>
    <w:rsid w:val="7B0C77A9"/>
    <w:rsid w:val="7BBC11CF"/>
    <w:rsid w:val="7C357C79"/>
    <w:rsid w:val="7D3E536C"/>
    <w:rsid w:val="7DB58C69"/>
    <w:rsid w:val="7DBD724B"/>
    <w:rsid w:val="7DC0487A"/>
    <w:rsid w:val="7DD9043B"/>
    <w:rsid w:val="7DFF16AF"/>
    <w:rsid w:val="7E865AC4"/>
    <w:rsid w:val="7EBF8D6D"/>
    <w:rsid w:val="7F604567"/>
    <w:rsid w:val="7F767EFF"/>
    <w:rsid w:val="7F7E5A56"/>
    <w:rsid w:val="7F7F7279"/>
    <w:rsid w:val="7FBA3493"/>
    <w:rsid w:val="7FBE42E8"/>
    <w:rsid w:val="7FCE6935"/>
    <w:rsid w:val="7FFB1A2D"/>
    <w:rsid w:val="7FFBB54D"/>
    <w:rsid w:val="7FFCDA19"/>
    <w:rsid w:val="7FFF8A93"/>
    <w:rsid w:val="87BEE734"/>
    <w:rsid w:val="929C1268"/>
    <w:rsid w:val="9B2FC32D"/>
    <w:rsid w:val="A37EB3B5"/>
    <w:rsid w:val="A3F7ADCD"/>
    <w:rsid w:val="A5F8BB74"/>
    <w:rsid w:val="AFFB235E"/>
    <w:rsid w:val="AFFFD316"/>
    <w:rsid w:val="B0775708"/>
    <w:rsid w:val="B63F2317"/>
    <w:rsid w:val="B787C395"/>
    <w:rsid w:val="B7EC5403"/>
    <w:rsid w:val="B8FF2081"/>
    <w:rsid w:val="B957B94A"/>
    <w:rsid w:val="BBDFF7B7"/>
    <w:rsid w:val="BD9E821C"/>
    <w:rsid w:val="BDBFFFC6"/>
    <w:rsid w:val="BDFAB75E"/>
    <w:rsid w:val="BF4C882D"/>
    <w:rsid w:val="BFEB3175"/>
    <w:rsid w:val="BFEDF6D2"/>
    <w:rsid w:val="BFFD0352"/>
    <w:rsid w:val="CFF2615A"/>
    <w:rsid w:val="D3BF5C80"/>
    <w:rsid w:val="D3F7D489"/>
    <w:rsid w:val="D5DF72C7"/>
    <w:rsid w:val="D7D725FC"/>
    <w:rsid w:val="D92528E8"/>
    <w:rsid w:val="DAA7E875"/>
    <w:rsid w:val="DB577AD4"/>
    <w:rsid w:val="DBEF171A"/>
    <w:rsid w:val="DBFE49A1"/>
    <w:rsid w:val="DCCC5B13"/>
    <w:rsid w:val="DD571095"/>
    <w:rsid w:val="DED48423"/>
    <w:rsid w:val="DEF33FCC"/>
    <w:rsid w:val="DEFF3F0C"/>
    <w:rsid w:val="DF9BDA4B"/>
    <w:rsid w:val="DFBFB816"/>
    <w:rsid w:val="DFD52E97"/>
    <w:rsid w:val="E3AFADDA"/>
    <w:rsid w:val="E75DC621"/>
    <w:rsid w:val="E77FBA5A"/>
    <w:rsid w:val="E7B6B746"/>
    <w:rsid w:val="E7FAACDC"/>
    <w:rsid w:val="EBBC0C06"/>
    <w:rsid w:val="EBE7B2DA"/>
    <w:rsid w:val="EC2C2027"/>
    <w:rsid w:val="EC7C3BEA"/>
    <w:rsid w:val="EDDABCAA"/>
    <w:rsid w:val="EDFFC7C7"/>
    <w:rsid w:val="EEFF983A"/>
    <w:rsid w:val="EFF5ACB7"/>
    <w:rsid w:val="F3EFF31E"/>
    <w:rsid w:val="F47FD112"/>
    <w:rsid w:val="F595E756"/>
    <w:rsid w:val="F5FD0076"/>
    <w:rsid w:val="F7AE46F4"/>
    <w:rsid w:val="F9777CF4"/>
    <w:rsid w:val="F9B7E4AF"/>
    <w:rsid w:val="F9FEAA52"/>
    <w:rsid w:val="FAF57245"/>
    <w:rsid w:val="FBEE6776"/>
    <w:rsid w:val="FBF2F6B7"/>
    <w:rsid w:val="FBFFFC61"/>
    <w:rsid w:val="FDBDF1A9"/>
    <w:rsid w:val="FDDB208C"/>
    <w:rsid w:val="FDDF4CBD"/>
    <w:rsid w:val="FDE91157"/>
    <w:rsid w:val="FDEDD0CB"/>
    <w:rsid w:val="FDFD43B4"/>
    <w:rsid w:val="FDFF450E"/>
    <w:rsid w:val="FE77CF83"/>
    <w:rsid w:val="FEEB721E"/>
    <w:rsid w:val="FEF7FECA"/>
    <w:rsid w:val="FEFD64D3"/>
    <w:rsid w:val="FF69EC09"/>
    <w:rsid w:val="FFDE2D77"/>
    <w:rsid w:val="FFED6ED6"/>
    <w:rsid w:val="FFF5D0CF"/>
    <w:rsid w:val="FFFDD051"/>
    <w:rsid w:val="FFFF383A"/>
    <w:rsid w:val="FFFFC3C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kinsoku w:val="0"/>
      <w:autoSpaceDE w:val="0"/>
      <w:autoSpaceDN w:val="0"/>
      <w:adjustRightInd w:val="0"/>
      <w:snapToGrid w:val="0"/>
      <w:spacing w:before="100" w:beforeAutospacing="1" w:after="100" w:afterAutospacing="1" w:line="240" w:lineRule="auto"/>
      <w:jc w:val="left"/>
      <w:textAlignment w:val="baseline"/>
      <w:outlineLvl w:val="0"/>
    </w:pPr>
    <w:rPr>
      <w:rFonts w:ascii="宋体" w:hAnsi="宋体" w:eastAsia="Arial" w:cs="宋体"/>
      <w:b/>
      <w:bCs/>
      <w:snapToGrid w:val="0"/>
      <w:color w:val="000000"/>
      <w:kern w:val="36"/>
      <w:sz w:val="48"/>
      <w:szCs w:val="4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spacing w:line="560" w:lineRule="exact"/>
      <w:ind w:firstLine="420" w:firstLineChars="200"/>
    </w:pPr>
  </w:style>
  <w:style w:type="paragraph" w:styleId="4">
    <w:name w:val="Body Text"/>
    <w:basedOn w:val="1"/>
    <w:next w:val="1"/>
    <w:qFormat/>
    <w:uiPriority w:val="1"/>
    <w:pPr>
      <w:widowControl w:val="0"/>
      <w:autoSpaceDE w:val="0"/>
      <w:autoSpaceDN w:val="0"/>
      <w:spacing w:before="0" w:after="0" w:line="240" w:lineRule="auto"/>
      <w:ind w:left="106" w:right="0"/>
      <w:jc w:val="left"/>
    </w:pPr>
    <w:rPr>
      <w:rFonts w:ascii="仿宋_GB2312" w:hAnsi="仿宋_GB2312" w:eastAsia="仿宋_GB2312" w:cs="仿宋_GB2312"/>
      <w:sz w:val="32"/>
      <w:szCs w:val="32"/>
      <w:lang w:val="zh-CN" w:eastAsia="zh-CN" w:bidi="zh-CN"/>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3490</Words>
  <Characters>3802</Characters>
  <Lines>0</Lines>
  <Paragraphs>0</Paragraphs>
  <TotalTime>8</TotalTime>
  <ScaleCrop>false</ScaleCrop>
  <LinksUpToDate>false</LinksUpToDate>
  <CharactersWithSpaces>3859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2026-01-14T16:32:00Z</dcterms:created>
  <dc:creator>cg-01</dc:creator>
  <cp:lastModifiedBy>在上lz</cp:lastModifiedBy>
  <dcterms:modified xsi:type="dcterms:W3CDTF">2026-04-08T10:17:45Z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B24AED0D9DD241E08B99D82121B47B7F_13</vt:lpwstr>
  </property>
  <property fmtid="{D5CDD505-2E9C-101B-9397-08002B2CF9AE}" pid="4" name="KSOTemplateDocerSaveRecord">
    <vt:lpwstr>eyJoZGlkIjoiNDYxN2Q0ZDVkMzMzOTdjYjZlMDg3NTVlNzMwOTZkMzQiLCJ1c2VySWQiOiI0NzM5NzEzODAifQ==</vt:lpwstr>
  </property>
</Properties>
</file>