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C412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1</w:t>
      </w:r>
    </w:p>
    <w:p w14:paraId="2FF633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p>
    <w:p w14:paraId="4FC2B53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华富街道“5分钟幸福生活圈”标准化文件制定咨询服务项目采购需求</w:t>
      </w:r>
    </w:p>
    <w:p w14:paraId="589C611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b w:val="0"/>
          <w:bCs/>
          <w:color w:val="auto"/>
          <w:sz w:val="28"/>
          <w:szCs w:val="28"/>
          <w:highlight w:val="none"/>
        </w:rPr>
      </w:pPr>
    </w:p>
    <w:p w14:paraId="430D10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一、采购项目概况</w:t>
      </w:r>
    </w:p>
    <w:p w14:paraId="27F641F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（一）</w:t>
      </w:r>
      <w:r>
        <w:rPr>
          <w:rFonts w:hint="eastAsia" w:ascii="仿宋_GB2312" w:hAnsi="仿宋_GB2312" w:eastAsia="仿宋_GB2312" w:cs="仿宋_GB2312"/>
          <w:b w:val="0"/>
          <w:bCs/>
          <w:color w:val="auto"/>
          <w:sz w:val="28"/>
          <w:szCs w:val="28"/>
          <w:highlight w:val="none"/>
          <w:lang w:eastAsia="zh-CN"/>
        </w:rPr>
        <w:t>项目名称：华富街道“5分钟幸福生活圈”标准化文件制定咨询服务项目</w:t>
      </w:r>
    </w:p>
    <w:p w14:paraId="6B2A55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（二）</w:t>
      </w:r>
      <w:r>
        <w:rPr>
          <w:rFonts w:hint="eastAsia" w:ascii="仿宋_GB2312" w:hAnsi="仿宋_GB2312" w:eastAsia="仿宋_GB2312" w:cs="仿宋_GB2312"/>
          <w:b w:val="0"/>
          <w:bCs/>
          <w:color w:val="auto"/>
          <w:sz w:val="28"/>
          <w:szCs w:val="28"/>
          <w:highlight w:val="none"/>
          <w:lang w:eastAsia="zh-CN"/>
        </w:rPr>
        <w:t>预算金额：</w:t>
      </w:r>
      <w:r>
        <w:rPr>
          <w:rFonts w:hint="eastAsia" w:ascii="仿宋_GB2312" w:hAnsi="仿宋_GB2312" w:eastAsia="仿宋_GB2312" w:cs="仿宋_GB2312"/>
          <w:b w:val="0"/>
          <w:bCs/>
          <w:color w:val="auto"/>
          <w:sz w:val="28"/>
          <w:szCs w:val="28"/>
          <w:highlight w:val="none"/>
          <w:lang w:val="en-US" w:eastAsia="zh-CN"/>
        </w:rPr>
        <w:t>24万元</w:t>
      </w:r>
    </w:p>
    <w:p w14:paraId="162EF01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color w:val="auto"/>
          <w:sz w:val="28"/>
          <w:szCs w:val="28"/>
          <w:highlight w:val="none"/>
          <w:lang w:val="en-US" w:eastAsia="zh-CN"/>
        </w:rPr>
        <w:t>（三）</w:t>
      </w:r>
      <w:r>
        <w:rPr>
          <w:rFonts w:hint="eastAsia" w:ascii="仿宋_GB2312" w:hAnsi="仿宋_GB2312" w:eastAsia="仿宋_GB2312" w:cs="仿宋_GB2312"/>
          <w:b w:val="0"/>
          <w:bCs/>
          <w:color w:val="auto"/>
          <w:sz w:val="28"/>
          <w:szCs w:val="28"/>
          <w:highlight w:val="none"/>
          <w:lang w:eastAsia="zh-CN"/>
        </w:rPr>
        <w:t>采购方式：</w:t>
      </w:r>
      <w:r>
        <w:rPr>
          <w:rFonts w:hint="eastAsia" w:ascii="仿宋_GB2312" w:hAnsi="仿宋_GB2312" w:eastAsia="仿宋_GB2312" w:cs="仿宋_GB2312"/>
          <w:b w:val="0"/>
          <w:bCs w:val="0"/>
          <w:color w:val="auto"/>
          <w:kern w:val="2"/>
          <w:sz w:val="28"/>
          <w:szCs w:val="28"/>
          <w:highlight w:val="none"/>
          <w:u w:val="none"/>
          <w:lang w:val="en-US" w:eastAsia="zh-CN" w:bidi="ar-SA"/>
        </w:rPr>
        <w:t>公开征集</w:t>
      </w:r>
    </w:p>
    <w:p w14:paraId="287FDE4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（四）</w:t>
      </w:r>
      <w:r>
        <w:rPr>
          <w:rFonts w:hint="eastAsia" w:ascii="仿宋_GB2312" w:hAnsi="仿宋_GB2312" w:eastAsia="仿宋_GB2312" w:cs="仿宋_GB2312"/>
          <w:b w:val="0"/>
          <w:bCs/>
          <w:color w:val="auto"/>
          <w:sz w:val="28"/>
          <w:szCs w:val="28"/>
          <w:highlight w:val="none"/>
          <w:lang w:eastAsia="zh-CN"/>
        </w:rPr>
        <w:t>评审方法：综合评判</w:t>
      </w:r>
    </w:p>
    <w:p w14:paraId="3207D64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宋体"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五）项目概述：华富街道前期编制的《“5分钟幸福生活圈”建设指南》，系统梳理了街道在“5分钟幸福生活圈”建设方面的实践成果与机制经验。但在对标标准体系的规范性、专业性方面仍存在差距，需引入专业力量协助进行优化提升，形成具有街道特色、可复制推广的标准化文件。</w:t>
      </w:r>
      <w:r>
        <w:rPr>
          <w:rFonts w:hint="eastAsia" w:ascii="仿宋_GB2312" w:hAnsi="仿宋_GB2312" w:eastAsia="仿宋_GB2312" w:cs="仿宋_GB2312"/>
          <w:i w:val="0"/>
          <w:iCs w:val="0"/>
          <w:caps w:val="0"/>
          <w:color w:val="auto"/>
          <w:spacing w:val="0"/>
          <w:sz w:val="28"/>
          <w:szCs w:val="28"/>
          <w:highlight w:val="none"/>
          <w:shd w:val="clear" w:fill="auto"/>
        </w:rPr>
        <w:t>本次咨询服务旨在通过专业化、系统化的标准编制工作，将华富街道的实践经验转化为标准化成果，为福田区乃至粤港澳大湾区的公共服务建设提供示范样板</w:t>
      </w:r>
      <w:r>
        <w:rPr>
          <w:rFonts w:hint="eastAsia" w:ascii="仿宋_GB2312" w:hAnsi="仿宋_GB2312" w:eastAsia="仿宋_GB2312" w:cs="仿宋_GB2312"/>
          <w:i w:val="0"/>
          <w:iCs w:val="0"/>
          <w:caps w:val="0"/>
          <w:color w:val="auto"/>
          <w:spacing w:val="0"/>
          <w:sz w:val="28"/>
          <w:szCs w:val="28"/>
          <w:highlight w:val="none"/>
          <w:shd w:val="clear" w:fill="auto"/>
          <w:lang w:eastAsia="zh-CN"/>
        </w:rPr>
        <w:t>。</w:t>
      </w:r>
    </w:p>
    <w:p w14:paraId="0B7F05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二、服务要求</w:t>
      </w:r>
    </w:p>
    <w:p w14:paraId="013F758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（一）优化标准内容框架，确保覆盖“5分钟幸福生活圈”全场景（如政务服务、养老服务、儿童友好、便民商业等）；</w:t>
      </w:r>
    </w:p>
    <w:p w14:paraId="7D2DB28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（二）提升标准内容合规性，符合《中华人民共和国标准化法》《广东省标准化条例》等法律法规要求；</w:t>
      </w:r>
    </w:p>
    <w:p w14:paraId="15BD256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（三）强化湾区兼容性，充分考虑粤港澳大湾区城市间的协同发展需求，为后续跨区域推广奠定基础；</w:t>
      </w:r>
    </w:p>
    <w:p w14:paraId="6A11B25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（四）形成可复制的“华富经验”，打造中国特色社会主义先行示范区幸福生活理想模型。</w:t>
      </w:r>
    </w:p>
    <w:p w14:paraId="28769F7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三、商务需求</w:t>
      </w:r>
    </w:p>
    <w:p w14:paraId="63D5A78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黑体" w:hAnsi="黑体" w:eastAsia="仿宋_GB2312" w:cs="黑体"/>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（一）</w:t>
      </w:r>
      <w:r>
        <w:rPr>
          <w:rFonts w:hint="eastAsia" w:ascii="仿宋_GB2312" w:hAnsi="Calibri" w:eastAsia="仿宋_GB2312" w:cs="Times New Roman"/>
          <w:b w:val="0"/>
          <w:bCs/>
          <w:color w:val="auto"/>
          <w:sz w:val="28"/>
          <w:szCs w:val="28"/>
          <w:highlight w:val="none"/>
        </w:rPr>
        <w:t>服务期：</w:t>
      </w:r>
      <w:r>
        <w:rPr>
          <w:rFonts w:hint="eastAsia" w:ascii="仿宋_GB2312" w:hAnsi="Calibri" w:eastAsia="仿宋_GB2312" w:cs="Times New Roman"/>
          <w:b w:val="0"/>
          <w:bCs/>
          <w:color w:val="auto"/>
          <w:sz w:val="28"/>
          <w:szCs w:val="28"/>
          <w:highlight w:val="none"/>
          <w:lang w:val="en-US" w:eastAsia="zh-CN"/>
        </w:rPr>
        <w:t>合同签订之日起至2026年12月31日。</w:t>
      </w:r>
    </w:p>
    <w:p w14:paraId="4581644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（二）</w:t>
      </w:r>
      <w:r>
        <w:rPr>
          <w:rFonts w:hint="eastAsia" w:ascii="仿宋_GB2312" w:hAnsi="Calibri" w:eastAsia="仿宋_GB2312" w:cs="Times New Roman"/>
          <w:b w:val="0"/>
          <w:bCs/>
          <w:color w:val="auto"/>
          <w:sz w:val="28"/>
          <w:szCs w:val="28"/>
          <w:highlight w:val="none"/>
        </w:rPr>
        <w:t>服务地点：</w:t>
      </w:r>
      <w:r>
        <w:rPr>
          <w:rFonts w:hint="eastAsia" w:ascii="仿宋_GB2312" w:hAnsi="Calibri" w:eastAsia="仿宋_GB2312" w:cs="Times New Roman"/>
          <w:b w:val="0"/>
          <w:bCs/>
          <w:color w:val="auto"/>
          <w:sz w:val="28"/>
          <w:szCs w:val="28"/>
          <w:highlight w:val="none"/>
          <w:lang w:eastAsia="zh-CN"/>
        </w:rPr>
        <w:t>深圳市福田区华富街道办事处。</w:t>
      </w:r>
    </w:p>
    <w:p w14:paraId="333E9E6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（三）</w:t>
      </w:r>
      <w:r>
        <w:rPr>
          <w:rFonts w:hint="eastAsia" w:ascii="仿宋_GB2312" w:hAnsi="Calibri" w:eastAsia="仿宋_GB2312" w:cs="Times New Roman"/>
          <w:b w:val="0"/>
          <w:bCs/>
          <w:color w:val="auto"/>
          <w:sz w:val="28"/>
          <w:szCs w:val="28"/>
          <w:highlight w:val="none"/>
        </w:rPr>
        <w:t>报价要求：</w:t>
      </w:r>
      <w:r>
        <w:rPr>
          <w:rFonts w:hint="eastAsia" w:ascii="仿宋_GB2312" w:hAnsi="Calibri" w:eastAsia="仿宋_GB2312" w:cs="Times New Roman"/>
          <w:b w:val="0"/>
          <w:bCs/>
          <w:color w:val="auto"/>
          <w:sz w:val="28"/>
          <w:szCs w:val="28"/>
          <w:highlight w:val="none"/>
          <w:lang w:eastAsia="zh-CN"/>
        </w:rPr>
        <w:t>项目预算（最高限价）为</w:t>
      </w:r>
      <w:r>
        <w:rPr>
          <w:rFonts w:hint="eastAsia" w:ascii="仿宋_GB2312" w:hAnsi="Calibri" w:eastAsia="仿宋_GB2312" w:cs="Times New Roman"/>
          <w:b w:val="0"/>
          <w:bCs/>
          <w:color w:val="auto"/>
          <w:sz w:val="28"/>
          <w:szCs w:val="28"/>
          <w:highlight w:val="none"/>
          <w:lang w:val="en-US" w:eastAsia="zh-CN"/>
        </w:rPr>
        <w:t>24</w:t>
      </w:r>
      <w:r>
        <w:rPr>
          <w:rFonts w:hint="eastAsia" w:ascii="仿宋_GB2312" w:hAnsi="Calibri" w:eastAsia="仿宋_GB2312" w:cs="Times New Roman"/>
          <w:b w:val="0"/>
          <w:bCs/>
          <w:color w:val="auto"/>
          <w:sz w:val="28"/>
          <w:szCs w:val="28"/>
          <w:highlight w:val="none"/>
        </w:rPr>
        <w:t>万</w:t>
      </w:r>
      <w:r>
        <w:rPr>
          <w:rFonts w:hint="eastAsia" w:ascii="仿宋_GB2312" w:hAnsi="Calibri" w:eastAsia="仿宋_GB2312" w:cs="Times New Roman"/>
          <w:b w:val="0"/>
          <w:bCs/>
          <w:color w:val="auto"/>
          <w:sz w:val="28"/>
          <w:szCs w:val="28"/>
          <w:highlight w:val="none"/>
          <w:lang w:eastAsia="zh-CN"/>
        </w:rPr>
        <w:t>元。</w:t>
      </w:r>
    </w:p>
    <w:p w14:paraId="7BD60FB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1.本项目服务费采用包干制，应包括服务成本、法定税费和企业的利润，响应人应</w:t>
      </w:r>
      <w:bookmarkStart w:id="0" w:name="_GoBack"/>
      <w:bookmarkEnd w:id="0"/>
      <w:r>
        <w:rPr>
          <w:rFonts w:hint="eastAsia" w:ascii="仿宋_GB2312" w:hAnsi="Calibri" w:eastAsia="仿宋_GB2312" w:cs="Times New Roman"/>
          <w:b w:val="0"/>
          <w:bCs/>
          <w:color w:val="auto"/>
          <w:sz w:val="28"/>
          <w:szCs w:val="28"/>
          <w:highlight w:val="none"/>
          <w:lang w:val="en-US" w:eastAsia="zh-CN"/>
        </w:rPr>
        <w:t>根据采购需求文件所提供的资料、结合本企业的成本自行决定报价；</w:t>
      </w:r>
    </w:p>
    <w:p w14:paraId="775ADD7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2.响应人经评审确定为本项目中选供应商后，响应报价及方案将提交第三方会计师事务所进行价格审核，双方签订的合同金额以事务所审核结果为准，响应人向采购人投递响应文件的，视为接受本条款。</w:t>
      </w:r>
    </w:p>
    <w:p w14:paraId="453000D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（四）</w:t>
      </w:r>
      <w:r>
        <w:rPr>
          <w:rFonts w:hint="eastAsia" w:ascii="仿宋_GB2312" w:hAnsi="Calibri" w:eastAsia="仿宋_GB2312" w:cs="Times New Roman"/>
          <w:b w:val="0"/>
          <w:bCs/>
          <w:color w:val="auto"/>
          <w:sz w:val="28"/>
          <w:szCs w:val="28"/>
          <w:highlight w:val="none"/>
        </w:rPr>
        <w:t>付款方式：合同签订后支付</w:t>
      </w:r>
      <w:r>
        <w:rPr>
          <w:rFonts w:hint="eastAsia" w:ascii="仿宋_GB2312" w:hAnsi="Calibri" w:eastAsia="仿宋_GB2312" w:cs="Times New Roman"/>
          <w:b w:val="0"/>
          <w:bCs/>
          <w:color w:val="auto"/>
          <w:sz w:val="28"/>
          <w:szCs w:val="28"/>
          <w:highlight w:val="none"/>
          <w:lang w:val="en-US" w:eastAsia="zh-CN"/>
        </w:rPr>
        <w:t>5</w:t>
      </w:r>
      <w:r>
        <w:rPr>
          <w:rFonts w:hint="eastAsia" w:ascii="仿宋_GB2312" w:hAnsi="Calibri" w:eastAsia="仿宋_GB2312" w:cs="Times New Roman"/>
          <w:b w:val="0"/>
          <w:bCs/>
          <w:color w:val="auto"/>
          <w:sz w:val="28"/>
          <w:szCs w:val="28"/>
          <w:highlight w:val="none"/>
        </w:rPr>
        <w:t>0%预付款；</w:t>
      </w:r>
      <w:r>
        <w:rPr>
          <w:rFonts w:hint="eastAsia" w:ascii="仿宋_GB2312" w:hAnsi="Calibri" w:eastAsia="仿宋_GB2312" w:cs="Times New Roman"/>
          <w:b w:val="0"/>
          <w:bCs/>
          <w:color w:val="auto"/>
          <w:sz w:val="28"/>
          <w:szCs w:val="28"/>
          <w:highlight w:val="none"/>
          <w:lang w:eastAsia="zh-CN"/>
        </w:rPr>
        <w:t>项目完成并通过</w:t>
      </w:r>
      <w:r>
        <w:rPr>
          <w:rFonts w:hint="eastAsia" w:ascii="仿宋_GB2312" w:hAnsi="Calibri" w:eastAsia="仿宋_GB2312" w:cs="Times New Roman"/>
          <w:b w:val="0"/>
          <w:bCs/>
          <w:color w:val="auto"/>
          <w:sz w:val="28"/>
          <w:szCs w:val="28"/>
          <w:highlight w:val="none"/>
        </w:rPr>
        <w:t>验收后支付</w:t>
      </w:r>
      <w:r>
        <w:rPr>
          <w:rFonts w:hint="eastAsia" w:ascii="仿宋_GB2312" w:hAnsi="Calibri" w:eastAsia="仿宋_GB2312" w:cs="Times New Roman"/>
          <w:b w:val="0"/>
          <w:bCs/>
          <w:color w:val="auto"/>
          <w:sz w:val="28"/>
          <w:szCs w:val="28"/>
          <w:highlight w:val="none"/>
          <w:lang w:eastAsia="zh-CN"/>
        </w:rPr>
        <w:t>尾款</w:t>
      </w:r>
      <w:r>
        <w:rPr>
          <w:rFonts w:hint="eastAsia" w:ascii="仿宋_GB2312" w:hAnsi="Calibri" w:eastAsia="仿宋_GB2312" w:cs="Times New Roman"/>
          <w:b w:val="0"/>
          <w:bCs/>
          <w:color w:val="auto"/>
          <w:sz w:val="28"/>
          <w:szCs w:val="28"/>
          <w:highlight w:val="none"/>
          <w:lang w:val="en-US" w:eastAsia="zh-CN"/>
        </w:rPr>
        <w:t>5</w:t>
      </w:r>
      <w:r>
        <w:rPr>
          <w:rFonts w:hint="eastAsia" w:ascii="仿宋_GB2312" w:hAnsi="Calibri" w:eastAsia="仿宋_GB2312" w:cs="Times New Roman"/>
          <w:b w:val="0"/>
          <w:bCs/>
          <w:color w:val="auto"/>
          <w:sz w:val="28"/>
          <w:szCs w:val="28"/>
          <w:highlight w:val="none"/>
        </w:rPr>
        <w:t>0%。</w:t>
      </w:r>
    </w:p>
    <w:p w14:paraId="201C343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eastAsia="zh-CN"/>
        </w:rPr>
        <w:t>（五）履约担保金：无。</w:t>
      </w:r>
    </w:p>
    <w:p w14:paraId="276C8C3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eastAsia="zh-CN"/>
        </w:rPr>
        <w:t>（六）知识产权归属：项目成果的知识产权归街道所有，供应商不得擅自使用或向第三方披露。</w:t>
      </w:r>
    </w:p>
    <w:p w14:paraId="0CCBBE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28"/>
          <w:szCs w:val="28"/>
          <w:highlight w:val="none"/>
          <w:lang w:eastAsia="zh-CN"/>
        </w:rPr>
        <w:t>四</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lang w:eastAsia="zh-CN"/>
        </w:rPr>
        <w:t>供应商响应文件组成及格式</w:t>
      </w:r>
    </w:p>
    <w:p w14:paraId="19F61A9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供应商应提供以下文件，并落款公章，加盖骑缝章：</w:t>
      </w:r>
    </w:p>
    <w:p w14:paraId="09FB74F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（一）营业执照、事业单位法人证书或其他具有独立承担民事责任能力的登记证明资料；</w:t>
      </w:r>
    </w:p>
    <w:p w14:paraId="78CD139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（二）《投标供应商无违法违规行为承诺书》（见附件2）；</w:t>
      </w:r>
    </w:p>
    <w:p w14:paraId="4012402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（三）《供应商基本情况表》（见附件3）；</w:t>
      </w:r>
    </w:p>
    <w:p w14:paraId="097C64C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（四）鼓励提供法定代表人、投标授权代表人、项目负责人（如有）最近1个月的社保缴纳证明，以及企业股权关系证明；</w:t>
      </w:r>
    </w:p>
    <w:p w14:paraId="2B851EF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（五）项目实施方案；</w:t>
      </w:r>
    </w:p>
    <w:p w14:paraId="54F835F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（六）报价明细单；</w:t>
      </w:r>
    </w:p>
    <w:p w14:paraId="242D116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（七）项目经验；</w:t>
      </w:r>
    </w:p>
    <w:p w14:paraId="6019A9B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pPr>
      <w:r>
        <w:rPr>
          <w:rFonts w:hint="eastAsia" w:ascii="仿宋_GB2312" w:hAnsi="Calibri" w:eastAsia="仿宋_GB2312" w:cs="Times New Roman"/>
          <w:b w:val="0"/>
          <w:bCs/>
          <w:color w:val="auto"/>
          <w:kern w:val="2"/>
          <w:sz w:val="28"/>
          <w:szCs w:val="28"/>
          <w:highlight w:val="none"/>
          <w:lang w:val="en-US" w:eastAsia="zh-CN" w:bidi="ar-SA"/>
        </w:rPr>
        <w:t>（八）履约承诺函。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A1F169-96DD-4927-81D7-B48211135E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C8D1D5A-7F19-4CAC-AC3C-C662CB5DC553}"/>
  </w:font>
  <w:font w:name="方正小标宋简体">
    <w:panose1 w:val="03000509000000000000"/>
    <w:charset w:val="86"/>
    <w:family w:val="auto"/>
    <w:pitch w:val="default"/>
    <w:sig w:usb0="00000001" w:usb1="080E0000" w:usb2="00000000" w:usb3="00000000" w:csb0="00040000" w:csb1="00000000"/>
    <w:embedRegular r:id="rId3" w:fontKey="{CCC4AF79-64CD-44BC-A736-E7BECD6C9870}"/>
  </w:font>
  <w:font w:name="仿宋_GB2312">
    <w:panose1 w:val="02010609030101010101"/>
    <w:charset w:val="86"/>
    <w:family w:val="auto"/>
    <w:pitch w:val="default"/>
    <w:sig w:usb0="00000001" w:usb1="080E0000" w:usb2="00000000" w:usb3="00000000" w:csb0="00040000" w:csb1="00000000"/>
    <w:embedRegular r:id="rId4" w:fontKey="{C29342E5-6DB6-4487-8D8E-48CB8048FB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41983"/>
    <w:rsid w:val="04A27583"/>
    <w:rsid w:val="07A817AD"/>
    <w:rsid w:val="097F1A2A"/>
    <w:rsid w:val="09ED4C49"/>
    <w:rsid w:val="0DC9777B"/>
    <w:rsid w:val="0E63372C"/>
    <w:rsid w:val="112F57FF"/>
    <w:rsid w:val="126A7C00"/>
    <w:rsid w:val="1A644AB4"/>
    <w:rsid w:val="1BEE1289"/>
    <w:rsid w:val="1D4F3384"/>
    <w:rsid w:val="1DCB4E4A"/>
    <w:rsid w:val="1DD41983"/>
    <w:rsid w:val="210E5779"/>
    <w:rsid w:val="29F73936"/>
    <w:rsid w:val="2C7DEDE7"/>
    <w:rsid w:val="2D6C58F8"/>
    <w:rsid w:val="35AF0E81"/>
    <w:rsid w:val="37B7226F"/>
    <w:rsid w:val="39FE2A39"/>
    <w:rsid w:val="39FF78C0"/>
    <w:rsid w:val="3D3FCB2E"/>
    <w:rsid w:val="3DFD5CAA"/>
    <w:rsid w:val="3FFC9007"/>
    <w:rsid w:val="40F167F2"/>
    <w:rsid w:val="42755200"/>
    <w:rsid w:val="44A64811"/>
    <w:rsid w:val="457F52A5"/>
    <w:rsid w:val="45FFE35E"/>
    <w:rsid w:val="511B3417"/>
    <w:rsid w:val="5B74DAF3"/>
    <w:rsid w:val="5BFB5DB0"/>
    <w:rsid w:val="62F4690A"/>
    <w:rsid w:val="63FEA7A6"/>
    <w:rsid w:val="6697440A"/>
    <w:rsid w:val="690D7691"/>
    <w:rsid w:val="6A7F65C7"/>
    <w:rsid w:val="6CCD39A0"/>
    <w:rsid w:val="6EF7EF60"/>
    <w:rsid w:val="6FE70C3C"/>
    <w:rsid w:val="6FE975B1"/>
    <w:rsid w:val="6FEF92F9"/>
    <w:rsid w:val="6FF11443"/>
    <w:rsid w:val="6FFF213D"/>
    <w:rsid w:val="71970440"/>
    <w:rsid w:val="76AC04E9"/>
    <w:rsid w:val="77633EC4"/>
    <w:rsid w:val="77EF6C16"/>
    <w:rsid w:val="77F5B784"/>
    <w:rsid w:val="77FC286F"/>
    <w:rsid w:val="7B8AF92A"/>
    <w:rsid w:val="7BFDD082"/>
    <w:rsid w:val="7C5D5D09"/>
    <w:rsid w:val="7C7986B7"/>
    <w:rsid w:val="7E7ADDD2"/>
    <w:rsid w:val="7FDBD26F"/>
    <w:rsid w:val="7FDFC40F"/>
    <w:rsid w:val="7FFD90A8"/>
    <w:rsid w:val="9EEFB32F"/>
    <w:rsid w:val="A7F22C38"/>
    <w:rsid w:val="ABC3FFE7"/>
    <w:rsid w:val="B9FB6130"/>
    <w:rsid w:val="BCEFD24B"/>
    <w:rsid w:val="BF1F35E3"/>
    <w:rsid w:val="DFECB0E7"/>
    <w:rsid w:val="F7DEF1BF"/>
    <w:rsid w:val="F7E9C545"/>
    <w:rsid w:val="F7EAFAA4"/>
    <w:rsid w:val="F8FD9C3A"/>
    <w:rsid w:val="F9B7EBCC"/>
    <w:rsid w:val="FBEED543"/>
    <w:rsid w:val="FCFFC690"/>
    <w:rsid w:val="FED46D1F"/>
    <w:rsid w:val="FED90552"/>
    <w:rsid w:val="FF738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kinsoku w:val="0"/>
      <w:autoSpaceDE w:val="0"/>
      <w:autoSpaceDN w:val="0"/>
      <w:adjustRightInd w:val="0"/>
      <w:snapToGrid w:val="0"/>
      <w:spacing w:before="100" w:beforeAutospacing="1" w:after="100" w:afterAutospacing="1" w:line="240" w:lineRule="auto"/>
      <w:jc w:val="left"/>
      <w:textAlignment w:val="baseline"/>
      <w:outlineLvl w:val="0"/>
    </w:pPr>
    <w:rPr>
      <w:rFonts w:ascii="宋体" w:hAnsi="宋体" w:eastAsia="Arial" w:cs="宋体"/>
      <w:b/>
      <w:bCs/>
      <w:snapToGrid w:val="0"/>
      <w:color w:val="000000"/>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1032</Words>
  <Characters>1045</Characters>
  <Lines>0</Lines>
  <Paragraphs>0</Paragraphs>
  <TotalTime>8</TotalTime>
  <ScaleCrop>false</ScaleCrop>
  <LinksUpToDate>false</LinksUpToDate>
  <CharactersWithSpaces>1045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2025-12-05T02:12:00Z</dcterms:created>
  <dc:creator>张青</dc:creator>
  <cp:lastModifiedBy>★</cp:lastModifiedBy>
  <dcterms:modified xsi:type="dcterms:W3CDTF">2026-03-20T07:59:06Z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122A25282708440FAC02B2B102105484_13</vt:lpwstr>
  </property>
  <property fmtid="{D5CDD505-2E9C-101B-9397-08002B2CF9AE}" pid="4" name="KSOTemplateDocerSaveRecord">
    <vt:lpwstr>eyJoZGlkIjoiMGYwZTBkZWM3ZjI5MjA1ODM0NTk1ZWJkNzk4YTQ2MWMiLCJ1c2VySWQiOiIyMzQ4Nzg4MDEifQ==</vt:lpwstr>
  </property>
</Properties>
</file>