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bidi="ar"/>
        </w:rPr>
        <w:t>福田区202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bidi="ar"/>
        </w:rPr>
        <w:t>年1-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 w:bidi="ar"/>
        </w:rPr>
        <w:t>11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bidi="ar"/>
        </w:rPr>
        <w:t>月经济发展情况</w:t>
      </w:r>
    </w:p>
    <w:p>
      <w:pPr>
        <w:spacing w:line="560" w:lineRule="exact"/>
        <w:rPr>
          <w:rFonts w:cs="宋体"/>
          <w:color w:val="auto"/>
          <w:szCs w:val="21"/>
          <w:highlight w:val="none"/>
        </w:rPr>
      </w:pPr>
      <w:r>
        <w:rPr>
          <w:rFonts w:cs="宋体"/>
          <w:color w:val="auto"/>
          <w:szCs w:val="21"/>
          <w:highlight w:val="none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bidi="ar"/>
        </w:rPr>
        <w:t>一、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规模以上工业增加值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eastAsia="仿宋_GB2312" w:cs="宋体"/>
          <w:color w:val="auto"/>
          <w:sz w:val="32"/>
          <w:szCs w:val="32"/>
          <w:lang w:bidi="ar"/>
        </w:rPr>
      </w:pPr>
      <w:r>
        <w:rPr>
          <w:rFonts w:hint="eastAsia" w:ascii="仿宋_GB2312" w:eastAsia="仿宋_GB2312" w:cs="宋体"/>
          <w:b/>
          <w:bCs/>
          <w:color w:val="auto"/>
          <w:sz w:val="32"/>
          <w:szCs w:val="32"/>
          <w:lang w:bidi="ar"/>
        </w:rPr>
        <w:t>规模以上工业增加值</w:t>
      </w:r>
      <w:r>
        <w:rPr>
          <w:rFonts w:hint="eastAsia" w:ascii="仿宋_GB2312" w:eastAsia="仿宋_GB2312" w:cs="宋体"/>
          <w:color w:val="auto"/>
          <w:sz w:val="32"/>
          <w:szCs w:val="32"/>
          <w:lang w:bidi="ar"/>
        </w:rPr>
        <w:t>同</w:t>
      </w:r>
      <w:r>
        <w:rPr>
          <w:rFonts w:hint="eastAsia" w:ascii="仿宋_GB2312" w:eastAsia="仿宋_GB2312" w:cs="宋体"/>
          <w:color w:val="auto"/>
          <w:sz w:val="32"/>
          <w:szCs w:val="32"/>
          <w:lang w:eastAsia="zh-CN" w:bidi="ar"/>
        </w:rPr>
        <w:t>口径增长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 w:bidi="ar"/>
        </w:rPr>
        <w:t>4.9</w:t>
      </w:r>
      <w:r>
        <w:rPr>
          <w:rFonts w:hint="eastAsia" w:ascii="仿宋_GB2312" w:eastAsia="仿宋_GB2312" w:cs="宋体"/>
          <w:color w:val="auto"/>
          <w:sz w:val="32"/>
          <w:szCs w:val="32"/>
          <w:lang w:bidi="ar"/>
        </w:rPr>
        <w:t>%</w:t>
      </w:r>
      <w:r>
        <w:rPr>
          <w:rFonts w:ascii="仿宋_GB2312" w:eastAsia="仿宋_GB2312" w:cs="宋体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宋体"/>
          <w:color w:val="auto"/>
          <w:sz w:val="32"/>
          <w:szCs w:val="32"/>
          <w:lang w:eastAsia="zh-CN" w:bidi="ar"/>
        </w:rPr>
        <w:t>二</w:t>
      </w:r>
      <w:r>
        <w:rPr>
          <w:rFonts w:hint="eastAsia" w:ascii="黑体" w:hAnsi="宋体" w:eastAsia="黑体" w:cs="宋体"/>
          <w:color w:val="auto"/>
          <w:sz w:val="32"/>
          <w:szCs w:val="32"/>
          <w:lang w:bidi="ar"/>
        </w:rPr>
        <w:t>、</w:t>
      </w:r>
      <w:r>
        <w:rPr>
          <w:rFonts w:hint="eastAsia" w:ascii="黑体" w:hAnsi="宋体" w:eastAsia="黑体" w:cs="宋体"/>
          <w:color w:val="auto"/>
          <w:sz w:val="32"/>
          <w:szCs w:val="32"/>
          <w:lang w:eastAsia="zh-CN" w:bidi="ar"/>
        </w:rPr>
        <w:t>规模以上营利性服务业营收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eastAsia" w:ascii="仿宋_GB2312" w:eastAsia="仿宋_GB2312" w:cs="宋体"/>
          <w:b/>
          <w:bCs/>
          <w:color w:val="auto"/>
          <w:sz w:val="32"/>
          <w:szCs w:val="32"/>
          <w:lang w:eastAsia="zh-CN" w:bidi="ar"/>
        </w:rPr>
        <w:t>规模以上营利性服务业营业收入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同比增长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 w:bidi="ar"/>
        </w:rPr>
        <w:t>5.8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%。其中，</w:t>
      </w:r>
      <w:r>
        <w:rPr>
          <w:rFonts w:hint="eastAsia" w:ascii="仿宋_GB2312" w:eastAsia="仿宋_GB2312" w:cs="宋体"/>
          <w:b/>
          <w:bCs/>
          <w:color w:val="auto"/>
          <w:sz w:val="32"/>
          <w:szCs w:val="32"/>
          <w:lang w:eastAsia="zh-CN" w:bidi="ar"/>
        </w:rPr>
        <w:t>软件和信息技术服务业营业收入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同比增长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 w:bidi="ar"/>
        </w:rPr>
        <w:t>3.2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%；</w:t>
      </w:r>
      <w:r>
        <w:rPr>
          <w:rFonts w:hint="eastAsia" w:ascii="仿宋_GB2312" w:eastAsia="仿宋_GB2312" w:cs="宋体"/>
          <w:b/>
          <w:bCs/>
          <w:color w:val="auto"/>
          <w:sz w:val="32"/>
          <w:szCs w:val="32"/>
          <w:lang w:eastAsia="zh-CN" w:bidi="ar"/>
        </w:rPr>
        <w:t>租赁和商务服务业营业收入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同比增长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 w:bidi="ar"/>
        </w:rPr>
        <w:t>2.8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%；</w:t>
      </w:r>
      <w:r>
        <w:rPr>
          <w:rFonts w:hint="eastAsia" w:ascii="仿宋_GB2312" w:eastAsia="仿宋_GB2312" w:cs="宋体"/>
          <w:b/>
          <w:bCs/>
          <w:color w:val="auto"/>
          <w:sz w:val="32"/>
          <w:szCs w:val="32"/>
          <w:lang w:eastAsia="zh-CN" w:bidi="ar"/>
        </w:rPr>
        <w:t>互联网和相关服务业营业收入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同比增长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 w:bidi="ar"/>
        </w:rPr>
        <w:t>39.8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eastAsia="zh-CN" w:bidi="ar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宋体"/>
          <w:color w:val="auto"/>
          <w:sz w:val="32"/>
          <w:szCs w:val="32"/>
          <w:lang w:val="en-US" w:eastAsia="zh-CN" w:bidi="ar"/>
        </w:rPr>
        <w:t>固定资产</w:t>
      </w:r>
      <w:r>
        <w:rPr>
          <w:rFonts w:hint="eastAsia" w:ascii="黑体" w:hAnsi="宋体" w:eastAsia="黑体" w:cs="宋体"/>
          <w:color w:val="auto"/>
          <w:sz w:val="32"/>
          <w:szCs w:val="32"/>
          <w:lang w:bidi="ar"/>
        </w:rPr>
        <w:t>投资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  <w:highlight w:val="yellow"/>
          <w:lang w:bidi="ar"/>
        </w:rPr>
      </w:pPr>
      <w:r>
        <w:rPr>
          <w:rFonts w:hint="eastAsia" w:ascii="仿宋_GB2312" w:eastAsia="仿宋_GB2312" w:cs="宋体"/>
          <w:b/>
          <w:bCs w:val="0"/>
          <w:color w:val="auto"/>
          <w:sz w:val="32"/>
          <w:szCs w:val="32"/>
          <w:lang w:bidi="ar"/>
        </w:rPr>
        <w:t>固定资产投资额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同比</w:t>
      </w:r>
      <w:r>
        <w:rPr>
          <w:rFonts w:hint="eastAsia" w:ascii="仿宋_GB2312" w:eastAsia="仿宋_GB2312" w:cs="宋体"/>
          <w:color w:val="auto"/>
          <w:sz w:val="32"/>
          <w:szCs w:val="32"/>
          <w:lang w:eastAsia="zh-CN" w:bidi="ar"/>
        </w:rPr>
        <w:t>下降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 w:bidi="ar"/>
        </w:rPr>
        <w:t>5.1</w:t>
      </w:r>
      <w:r>
        <w:rPr>
          <w:rFonts w:hint="eastAsia" w:ascii="仿宋_GB2312" w:eastAsia="仿宋_GB2312" w:cs="宋体"/>
          <w:color w:val="auto"/>
          <w:sz w:val="32"/>
          <w:szCs w:val="32"/>
          <w:lang w:bidi="ar"/>
        </w:rPr>
        <w:t>%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  <w:r>
        <w:rPr>
          <w:rFonts w:hint="eastAsia" w:ascii="仿宋_GB2312" w:eastAsia="仿宋_GB2312" w:cs="宋体"/>
          <w:color w:val="auto"/>
          <w:sz w:val="32"/>
          <w:szCs w:val="32"/>
          <w:lang w:bidi="ar"/>
        </w:rPr>
        <w:t>其中</w:t>
      </w:r>
      <w:r>
        <w:rPr>
          <w:rFonts w:hint="eastAsia" w:ascii="仿宋_GB2312" w:eastAsia="仿宋_GB2312" w:cs="宋体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 w:cs="宋体"/>
          <w:b/>
          <w:bCs w:val="0"/>
          <w:color w:val="auto"/>
          <w:sz w:val="32"/>
          <w:szCs w:val="32"/>
          <w:lang w:bidi="ar"/>
        </w:rPr>
        <w:t>房地产开发投资</w:t>
      </w:r>
      <w:r>
        <w:rPr>
          <w:rFonts w:hint="eastAsia" w:ascii="仿宋_GB2312" w:eastAsia="仿宋_GB2312" w:cs="宋体"/>
          <w:b w:val="0"/>
          <w:bCs/>
          <w:color w:val="auto"/>
          <w:sz w:val="32"/>
          <w:szCs w:val="32"/>
          <w:lang w:eastAsia="zh-CN" w:bidi="ar"/>
        </w:rPr>
        <w:t>下降</w:t>
      </w:r>
      <w:r>
        <w:rPr>
          <w:rFonts w:hint="eastAsia" w:ascii="仿宋_GB2312" w:eastAsia="仿宋_GB2312" w:cs="宋体"/>
          <w:b w:val="0"/>
          <w:bCs/>
          <w:color w:val="auto"/>
          <w:sz w:val="32"/>
          <w:szCs w:val="32"/>
          <w:lang w:val="en-US" w:eastAsia="zh-CN" w:bidi="ar"/>
        </w:rPr>
        <w:t>40.8</w:t>
      </w:r>
      <w:r>
        <w:rPr>
          <w:rFonts w:hint="eastAsia" w:ascii="仿宋_GB2312" w:eastAsia="仿宋_GB2312" w:cs="宋体"/>
          <w:b w:val="0"/>
          <w:bCs/>
          <w:color w:val="auto"/>
          <w:sz w:val="32"/>
          <w:szCs w:val="32"/>
          <w:lang w:bidi="ar"/>
        </w:rPr>
        <w:t>%</w:t>
      </w:r>
      <w:r>
        <w:rPr>
          <w:rFonts w:hint="eastAsia" w:ascii="仿宋_GB2312" w:eastAsia="仿宋_GB2312" w:cs="宋体"/>
          <w:b w:val="0"/>
          <w:bCs/>
          <w:color w:val="auto"/>
          <w:sz w:val="32"/>
          <w:szCs w:val="32"/>
          <w:lang w:eastAsia="zh-CN" w:bidi="ar"/>
        </w:rPr>
        <w:t>；</w:t>
      </w:r>
      <w:r>
        <w:rPr>
          <w:rFonts w:hint="eastAsia" w:ascii="仿宋_GB2312" w:eastAsia="仿宋_GB2312" w:cs="宋体"/>
          <w:b/>
          <w:bCs w:val="0"/>
          <w:color w:val="auto"/>
          <w:kern w:val="0"/>
          <w:sz w:val="32"/>
          <w:szCs w:val="32"/>
          <w:lang w:bidi="ar"/>
        </w:rPr>
        <w:t>非房地产开发投资</w:t>
      </w:r>
      <w:r>
        <w:rPr>
          <w:rFonts w:hint="eastAsia" w:ascii="仿宋_GB2312" w:eastAsia="仿宋_GB2312" w:cs="宋体"/>
          <w:b w:val="0"/>
          <w:bCs/>
          <w:color w:val="auto"/>
          <w:kern w:val="0"/>
          <w:sz w:val="32"/>
          <w:szCs w:val="32"/>
          <w:lang w:eastAsia="zh-CN" w:bidi="ar"/>
        </w:rPr>
        <w:t>增长</w:t>
      </w:r>
      <w:r>
        <w:rPr>
          <w:rFonts w:hint="eastAsia" w:ascii="仿宋_GB2312" w:eastAsia="仿宋_GB2312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17.2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bidi="ar"/>
        </w:rPr>
        <w:t>%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四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bidi="ar"/>
        </w:rPr>
        <w:t>、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社会消费品零售总额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  <w:t>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4.5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。21个商品类别中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,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 w:bidi="ar"/>
        </w:rPr>
        <w:t>日用品类同比增长7.9%，文化办公用品类同比增长88.7%，粮油、食品类同比下降4.2%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五、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bidi="ar"/>
        </w:rPr>
        <w:t>居民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eastAsia="zh-CN" w:bidi="ar"/>
        </w:rPr>
        <w:t>消费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bidi="ar"/>
        </w:rPr>
        <w:t>价格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val="en-US" w:eastAsia="zh-CN" w:bidi="ar"/>
        </w:rPr>
        <w:t>1-11月，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bidi="ar"/>
        </w:rPr>
        <w:t>居民消费价格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 w:bidi="ar"/>
        </w:rPr>
        <w:t>平均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bidi="ar"/>
        </w:rPr>
        <w:t>增长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val="en-US" w:eastAsia="zh-CN" w:bidi="ar"/>
        </w:rPr>
        <w:t>0.1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val="en-US" w:eastAsia="zh-CN" w:bidi="ar"/>
        </w:rPr>
        <w:t>。其中，食品烟酒类增长0.2%，衣着类增长1.1%，居住类下降0.1%，生活用品及服务类增长0.4%，交通通信类下降2.4%，教育文化娱乐类增长0.7%，医疗保健类增长2.6%，其他用品及服务类增长5.1%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widowControl/>
        <w:suppressLineNumbers w:val="0"/>
        <w:ind w:firstLine="642" w:firstLineChars="200"/>
        <w:jc w:val="center"/>
        <w:rPr>
          <w:rFonts w:hint="eastAsia" w:ascii="黑体" w:eastAsia="黑体" w:cs="宋体"/>
          <w:b/>
          <w:color w:val="auto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ind w:firstLine="642" w:firstLineChars="200"/>
        <w:jc w:val="center"/>
        <w:rPr>
          <w:rFonts w:hint="eastAsia" w:ascii="黑体" w:eastAsia="黑体" w:cs="宋体"/>
          <w:b/>
          <w:color w:val="auto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ind w:firstLine="642" w:firstLineChars="200"/>
        <w:jc w:val="center"/>
        <w:rPr>
          <w:rFonts w:hint="eastAsia" w:ascii="黑体" w:eastAsia="黑体" w:cs="宋体"/>
          <w:b/>
          <w:color w:val="auto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ind w:firstLine="642" w:firstLineChars="200"/>
        <w:jc w:val="center"/>
        <w:rPr>
          <w:rFonts w:hint="eastAsia" w:ascii="黑体" w:eastAsia="黑体" w:cs="宋体"/>
          <w:b/>
          <w:color w:val="auto"/>
          <w:sz w:val="32"/>
          <w:szCs w:val="32"/>
        </w:rPr>
      </w:pPr>
      <w:r>
        <w:rPr>
          <w:rFonts w:hint="eastAsia" w:ascii="黑体" w:eastAsia="黑体" w:cs="宋体"/>
          <w:b/>
          <w:color w:val="auto"/>
          <w:sz w:val="32"/>
          <w:szCs w:val="32"/>
          <w:lang w:bidi="ar"/>
        </w:rPr>
        <w:t>福田区202</w:t>
      </w:r>
      <w:r>
        <w:rPr>
          <w:rFonts w:hint="eastAsia" w:ascii="黑体" w:eastAsia="黑体" w:cs="宋体"/>
          <w:b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黑体" w:eastAsia="黑体" w:cs="宋体"/>
          <w:b/>
          <w:color w:val="auto"/>
          <w:sz w:val="32"/>
          <w:szCs w:val="32"/>
          <w:lang w:bidi="ar"/>
        </w:rPr>
        <w:t>年1-</w:t>
      </w:r>
      <w:r>
        <w:rPr>
          <w:rFonts w:hint="eastAsia" w:ascii="黑体" w:eastAsia="黑体" w:cs="宋体"/>
          <w:b/>
          <w:color w:val="auto"/>
          <w:sz w:val="32"/>
          <w:szCs w:val="32"/>
          <w:lang w:val="en-US" w:eastAsia="zh-CN" w:bidi="ar"/>
        </w:rPr>
        <w:t>11</w:t>
      </w:r>
      <w:r>
        <w:rPr>
          <w:rFonts w:hint="eastAsia" w:ascii="黑体" w:eastAsia="黑体" w:cs="宋体"/>
          <w:b/>
          <w:color w:val="auto"/>
          <w:sz w:val="32"/>
          <w:szCs w:val="32"/>
          <w:lang w:bidi="ar"/>
        </w:rPr>
        <w:t>月主要经济指标情况表</w:t>
      </w:r>
    </w:p>
    <w:tbl>
      <w:tblPr>
        <w:tblStyle w:val="7"/>
        <w:tblW w:w="6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2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指标名称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position w:val="2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 w:bidi="ar"/>
              </w:rPr>
              <w:t>同比增速</w:t>
            </w: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1、地区生产总值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bidi="ar"/>
              </w:rPr>
              <w:t>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 w:bidi="ar"/>
              </w:rPr>
              <w:t>前三季度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bidi="ar"/>
              </w:rPr>
              <w:t>）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规模以上工业企业增加值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 w:bidi="ar"/>
              </w:rPr>
              <w:t>3、规模以上营利性服务业营业收入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、固定资产投资额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-5.1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、社会消费品零售总额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-4.5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、居民消费价格总指数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0.1</w:t>
            </w:r>
          </w:p>
        </w:tc>
      </w:tr>
    </w:tbl>
    <w:p>
      <w:pPr>
        <w:rPr>
          <w:color w:val="auto"/>
        </w:rPr>
      </w:pPr>
      <w:r>
        <w:rPr>
          <w:rFonts w:hint="eastAsia" w:ascii="宋体" w:hAnsi="宋体" w:cs="宋体"/>
          <w:color w:val="auto"/>
          <w:szCs w:val="21"/>
          <w:lang w:bidi="ar"/>
        </w:rPr>
        <w:t>注：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地区生产总值为</w:t>
      </w:r>
      <w:r>
        <w:rPr>
          <w:rFonts w:hint="eastAsia" w:ascii="宋体" w:hAnsi="宋体" w:cs="宋体"/>
          <w:color w:val="auto"/>
          <w:szCs w:val="21"/>
          <w:highlight w:val="none"/>
          <w:lang w:eastAsia="zh-CN" w:bidi="ar"/>
        </w:rPr>
        <w:t>前三季度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数据；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项来源于国家统计局深圳调查队；规模以上工业企业增加值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为同口径比较</w:t>
      </w:r>
      <w:r>
        <w:rPr>
          <w:rFonts w:hint="eastAsia" w:ascii="宋体" w:hAnsi="宋体" w:cs="宋体"/>
          <w:color w:val="auto"/>
          <w:szCs w:val="21"/>
          <w:lang w:bidi="ar"/>
        </w:rPr>
        <w:t>。</w:t>
      </w:r>
    </w:p>
    <w:p/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A73DC"/>
    <w:rsid w:val="000B55DB"/>
    <w:rsid w:val="000E31F8"/>
    <w:rsid w:val="000E69BA"/>
    <w:rsid w:val="00135170"/>
    <w:rsid w:val="00246F1F"/>
    <w:rsid w:val="00253F2D"/>
    <w:rsid w:val="002E691F"/>
    <w:rsid w:val="003113D5"/>
    <w:rsid w:val="0031156A"/>
    <w:rsid w:val="00316387"/>
    <w:rsid w:val="003D3219"/>
    <w:rsid w:val="004030E0"/>
    <w:rsid w:val="004A4887"/>
    <w:rsid w:val="004C6CE8"/>
    <w:rsid w:val="00544881"/>
    <w:rsid w:val="005935DC"/>
    <w:rsid w:val="005C7BF1"/>
    <w:rsid w:val="005D6DDD"/>
    <w:rsid w:val="0062537A"/>
    <w:rsid w:val="006B36E2"/>
    <w:rsid w:val="006B51E8"/>
    <w:rsid w:val="00730E5B"/>
    <w:rsid w:val="007B266F"/>
    <w:rsid w:val="007B6B1C"/>
    <w:rsid w:val="007E03FF"/>
    <w:rsid w:val="008474F5"/>
    <w:rsid w:val="00945127"/>
    <w:rsid w:val="0095729A"/>
    <w:rsid w:val="009E476D"/>
    <w:rsid w:val="00A2321C"/>
    <w:rsid w:val="00A8376B"/>
    <w:rsid w:val="00AB186D"/>
    <w:rsid w:val="00AF1C48"/>
    <w:rsid w:val="00AF628A"/>
    <w:rsid w:val="00AF7A57"/>
    <w:rsid w:val="00B26EFF"/>
    <w:rsid w:val="00B81FEF"/>
    <w:rsid w:val="00B85328"/>
    <w:rsid w:val="00BA1DC9"/>
    <w:rsid w:val="00C16C1E"/>
    <w:rsid w:val="00C560E6"/>
    <w:rsid w:val="00C56848"/>
    <w:rsid w:val="00C9501C"/>
    <w:rsid w:val="00CE5023"/>
    <w:rsid w:val="00D114E6"/>
    <w:rsid w:val="00D179CF"/>
    <w:rsid w:val="00D431B3"/>
    <w:rsid w:val="00D53A4F"/>
    <w:rsid w:val="00D569F9"/>
    <w:rsid w:val="00DA5935"/>
    <w:rsid w:val="00DD0ACE"/>
    <w:rsid w:val="00DD3AD0"/>
    <w:rsid w:val="00DD62B3"/>
    <w:rsid w:val="00E05754"/>
    <w:rsid w:val="00E10141"/>
    <w:rsid w:val="00E20E76"/>
    <w:rsid w:val="00E37124"/>
    <w:rsid w:val="00F11F1C"/>
    <w:rsid w:val="01250CAC"/>
    <w:rsid w:val="04EA3B7F"/>
    <w:rsid w:val="0A8770E6"/>
    <w:rsid w:val="0FE04DE7"/>
    <w:rsid w:val="121A4771"/>
    <w:rsid w:val="14CA73DC"/>
    <w:rsid w:val="1E8D5869"/>
    <w:rsid w:val="1FED0419"/>
    <w:rsid w:val="27CB70B0"/>
    <w:rsid w:val="28895219"/>
    <w:rsid w:val="2B9D0108"/>
    <w:rsid w:val="2EFE1F6E"/>
    <w:rsid w:val="30F9258E"/>
    <w:rsid w:val="377F1130"/>
    <w:rsid w:val="3A070970"/>
    <w:rsid w:val="3E5F0924"/>
    <w:rsid w:val="42E816C4"/>
    <w:rsid w:val="493865DF"/>
    <w:rsid w:val="4E002EA6"/>
    <w:rsid w:val="4ECFE188"/>
    <w:rsid w:val="4EE71181"/>
    <w:rsid w:val="504E5C9B"/>
    <w:rsid w:val="505E2703"/>
    <w:rsid w:val="56DD7436"/>
    <w:rsid w:val="57495D67"/>
    <w:rsid w:val="586B1973"/>
    <w:rsid w:val="589D3BCA"/>
    <w:rsid w:val="5D3F8D07"/>
    <w:rsid w:val="5DDB608A"/>
    <w:rsid w:val="5E670A59"/>
    <w:rsid w:val="5FA36593"/>
    <w:rsid w:val="5FFE5471"/>
    <w:rsid w:val="67E7AAA3"/>
    <w:rsid w:val="690A6F3F"/>
    <w:rsid w:val="6A002BD5"/>
    <w:rsid w:val="6B5F0DB7"/>
    <w:rsid w:val="6CA14B22"/>
    <w:rsid w:val="6DEA656D"/>
    <w:rsid w:val="6E912F0A"/>
    <w:rsid w:val="737FB4D9"/>
    <w:rsid w:val="743D54A5"/>
    <w:rsid w:val="76565C71"/>
    <w:rsid w:val="769B5AC1"/>
    <w:rsid w:val="77AB7114"/>
    <w:rsid w:val="77FBD866"/>
    <w:rsid w:val="77FE4594"/>
    <w:rsid w:val="77FF20E5"/>
    <w:rsid w:val="79FEF448"/>
    <w:rsid w:val="7A5E6214"/>
    <w:rsid w:val="7ACB0A21"/>
    <w:rsid w:val="7CFF33C5"/>
    <w:rsid w:val="7DB4318C"/>
    <w:rsid w:val="7EE7CD2B"/>
    <w:rsid w:val="7F18D030"/>
    <w:rsid w:val="7FB7E8CF"/>
    <w:rsid w:val="7FDFD941"/>
    <w:rsid w:val="7FF76251"/>
    <w:rsid w:val="973F9F2D"/>
    <w:rsid w:val="A774A125"/>
    <w:rsid w:val="B6969FDA"/>
    <w:rsid w:val="BBFBC1D0"/>
    <w:rsid w:val="BF9D9397"/>
    <w:rsid w:val="CDDF40DD"/>
    <w:rsid w:val="CDEFBCE0"/>
    <w:rsid w:val="D3DD4899"/>
    <w:rsid w:val="D54D4450"/>
    <w:rsid w:val="DD3BA1C4"/>
    <w:rsid w:val="DEFB3772"/>
    <w:rsid w:val="DFAE25B7"/>
    <w:rsid w:val="EAEFE908"/>
    <w:rsid w:val="EB7BF1B9"/>
    <w:rsid w:val="EBF3F4FC"/>
    <w:rsid w:val="EFBF7136"/>
    <w:rsid w:val="EFF789A6"/>
    <w:rsid w:val="EFF9F3B8"/>
    <w:rsid w:val="EFFFEE33"/>
    <w:rsid w:val="F3A71425"/>
    <w:rsid w:val="F878E70A"/>
    <w:rsid w:val="F9EFA73A"/>
    <w:rsid w:val="FBE53765"/>
    <w:rsid w:val="FBFEE0DD"/>
    <w:rsid w:val="FC7BAFBE"/>
    <w:rsid w:val="FE3E0483"/>
    <w:rsid w:val="FE79001D"/>
    <w:rsid w:val="FEED5B4A"/>
    <w:rsid w:val="FFCFE738"/>
    <w:rsid w:val="FFEDC6B7"/>
    <w:rsid w:val="FFF2CB7A"/>
    <w:rsid w:val="FFFBBA33"/>
    <w:rsid w:val="FFFF240B"/>
    <w:rsid w:val="FF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cs="Calibri"/>
      <w:sz w:val="24"/>
      <w:szCs w:val="20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250</Words>
  <Characters>1429</Characters>
  <Lines>11</Lines>
  <Paragraphs>3</Paragraphs>
  <TotalTime>2</TotalTime>
  <ScaleCrop>false</ScaleCrop>
  <LinksUpToDate>false</LinksUpToDate>
  <CharactersWithSpaces>1676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2019-12-14T08:32:00Z</dcterms:created>
  <dc:creator>唐佳</dc:creator>
  <cp:lastModifiedBy>陈晓丹</cp:lastModifiedBy>
  <cp:lastPrinted>2025-01-09T22:30:00Z</cp:lastPrinted>
  <dcterms:modified xsi:type="dcterms:W3CDTF">2025-12-19T15:41:23Z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6B5F5B1D594EC9C18735606611F351FD</vt:lpwstr>
  </property>
</Properties>
</file>