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95A9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附件</w:t>
      </w:r>
      <w:r>
        <w:rPr>
          <w:rFonts w:hint="eastAsia" w:ascii="黑体" w:hAnsi="黑体" w:eastAsia="黑体" w:cs="黑体"/>
          <w:b w:val="0"/>
          <w:bCs/>
          <w:color w:val="auto"/>
          <w:sz w:val="32"/>
          <w:szCs w:val="32"/>
          <w:highlight w:val="none"/>
          <w:lang w:val="en-US" w:eastAsia="zh-CN"/>
        </w:rPr>
        <w:t>1</w:t>
      </w:r>
    </w:p>
    <w:p w14:paraId="4E127A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p>
    <w:p w14:paraId="46B185D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华富街道2026年“幸福”系列市集服务</w:t>
      </w:r>
    </w:p>
    <w:p w14:paraId="6725F78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活动项目采购需求</w:t>
      </w:r>
    </w:p>
    <w:p w14:paraId="003B314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b w:val="0"/>
          <w:bCs/>
          <w:color w:val="auto"/>
          <w:sz w:val="28"/>
          <w:szCs w:val="28"/>
          <w:highlight w:val="none"/>
        </w:rPr>
      </w:pPr>
    </w:p>
    <w:p w14:paraId="61C350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一、采购项目概况</w:t>
      </w:r>
    </w:p>
    <w:p w14:paraId="07E40EC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（一）</w:t>
      </w:r>
      <w:r>
        <w:rPr>
          <w:rFonts w:hint="eastAsia" w:ascii="仿宋_GB2312" w:hAnsi="仿宋_GB2312" w:eastAsia="仿宋_GB2312" w:cs="仿宋_GB2312"/>
          <w:b w:val="0"/>
          <w:bCs/>
          <w:color w:val="auto"/>
          <w:sz w:val="28"/>
          <w:szCs w:val="28"/>
          <w:highlight w:val="none"/>
          <w:lang w:eastAsia="zh-CN"/>
        </w:rPr>
        <w:t>项目名称：华富街道2026年“幸福”系列市集服务活动项目（民生微实事）</w:t>
      </w:r>
    </w:p>
    <w:p w14:paraId="0990A38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（二）</w:t>
      </w:r>
      <w:r>
        <w:rPr>
          <w:rFonts w:hint="eastAsia" w:ascii="仿宋_GB2312" w:hAnsi="仿宋_GB2312" w:eastAsia="仿宋_GB2312" w:cs="仿宋_GB2312"/>
          <w:b w:val="0"/>
          <w:bCs/>
          <w:color w:val="auto"/>
          <w:sz w:val="28"/>
          <w:szCs w:val="28"/>
          <w:highlight w:val="none"/>
          <w:lang w:eastAsia="zh-CN"/>
        </w:rPr>
        <w:t>预算金额：</w:t>
      </w:r>
      <w:r>
        <w:rPr>
          <w:rFonts w:hint="eastAsia" w:ascii="仿宋_GB2312" w:hAnsi="仿宋_GB2312" w:eastAsia="仿宋_GB2312" w:cs="仿宋_GB2312"/>
          <w:b w:val="0"/>
          <w:bCs/>
          <w:color w:val="auto"/>
          <w:sz w:val="28"/>
          <w:szCs w:val="28"/>
          <w:highlight w:val="none"/>
          <w:lang w:val="en-US" w:eastAsia="zh-CN"/>
        </w:rPr>
        <w:t>79.01万元（涵盖了8个社区单独立项项目，累计共48场市集服务活动）</w:t>
      </w:r>
    </w:p>
    <w:p w14:paraId="7E4385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color w:val="auto"/>
          <w:sz w:val="28"/>
          <w:szCs w:val="28"/>
          <w:highlight w:val="none"/>
          <w:lang w:val="en-US" w:eastAsia="zh-CN"/>
        </w:rPr>
        <w:t>（三）</w:t>
      </w:r>
      <w:r>
        <w:rPr>
          <w:rFonts w:hint="eastAsia" w:ascii="仿宋_GB2312" w:hAnsi="仿宋_GB2312" w:eastAsia="仿宋_GB2312" w:cs="仿宋_GB2312"/>
          <w:b w:val="0"/>
          <w:bCs/>
          <w:color w:val="auto"/>
          <w:sz w:val="28"/>
          <w:szCs w:val="28"/>
          <w:highlight w:val="none"/>
          <w:lang w:eastAsia="zh-CN"/>
        </w:rPr>
        <w:t>采购方式：</w:t>
      </w:r>
      <w:r>
        <w:rPr>
          <w:rFonts w:hint="eastAsia" w:ascii="仿宋_GB2312" w:hAnsi="仿宋_GB2312" w:eastAsia="仿宋_GB2312" w:cs="仿宋_GB2312"/>
          <w:b w:val="0"/>
          <w:bCs w:val="0"/>
          <w:color w:val="auto"/>
          <w:kern w:val="2"/>
          <w:sz w:val="28"/>
          <w:szCs w:val="28"/>
          <w:highlight w:val="none"/>
          <w:u w:val="none"/>
          <w:lang w:val="en-US" w:eastAsia="zh-CN" w:bidi="ar-SA"/>
        </w:rPr>
        <w:t>公开征集</w:t>
      </w:r>
    </w:p>
    <w:p w14:paraId="32D05D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（四）</w:t>
      </w:r>
      <w:r>
        <w:rPr>
          <w:rFonts w:hint="eastAsia" w:ascii="仿宋_GB2312" w:hAnsi="仿宋_GB2312" w:eastAsia="仿宋_GB2312" w:cs="仿宋_GB2312"/>
          <w:b w:val="0"/>
          <w:bCs/>
          <w:color w:val="auto"/>
          <w:sz w:val="28"/>
          <w:szCs w:val="28"/>
          <w:highlight w:val="none"/>
          <w:lang w:eastAsia="zh-CN"/>
        </w:rPr>
        <w:t>评审方法：综合评判</w:t>
      </w:r>
    </w:p>
    <w:p w14:paraId="6B1D9CC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五）项目概述：为全面贯彻落实“百千万工程”，深化“幸福华富”建设，延续2025年市集活动良好口碑，华富街道2026年度整合辖区8个社区资源，继续以“周末轮流办、社区齐参与”模式，搭建便民服务、文化互动、邻里交流的综合性平台，聚力实现街社一体化高质量发展，打造具有街道辨识度的党建、民生服务品牌。同时，结合2026年亚太经合组织（APEC）会议在深圳举办的契机，通过“社区赋能城市、全民参与盛会”的方式，让居民在参与中感受国际盛会氛围，为APEC会议圆满举办贡献街道、社区力量。</w:t>
      </w:r>
    </w:p>
    <w:p w14:paraId="76FE278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二、服务要求</w:t>
      </w:r>
    </w:p>
    <w:p w14:paraId="1853243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（一）便民惠民：聚焦居民日常需求，提供多样化便民服务与特色供给，切实解决生活小难题，提升居民生活便捷度。</w:t>
      </w:r>
    </w:p>
    <w:p w14:paraId="3495CA8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（二）文化赋能：深度融入传统节日、非遗技艺、节气文化与环保理念，丰富居民精神文化生活，厚植文化自信与生态意识。</w:t>
      </w:r>
    </w:p>
    <w:p w14:paraId="3694734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（三）邻里共建：通过协作式手工、互动游戏等形式，打破年龄与身份界限，强化家庭凝聚力与邻里互助精神，营造“熟人社区”氛围。</w:t>
      </w:r>
    </w:p>
    <w:p w14:paraId="364727A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（四）代际共融：搭建跨代交流平台，促进长者与青少年在活动中相互理解，传承传统文化，缩短心理鸿沟。</w:t>
      </w:r>
    </w:p>
    <w:p w14:paraId="1845CFA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（五）品牌升级：打造“一社一品、季季有特色”的标杆项目，形成可复制、可推广的社区服务经验，深化“幸福华富”品牌影响力。</w:t>
      </w:r>
    </w:p>
    <w:p w14:paraId="306AC2CD">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（六）盛会赋能：围绕APEC会议主题与城市服务要求，开展国际礼仪、绿色环保、科技创新等特色活动，提升居民国际视野与文明素养，助力城市国际化形象塑造。</w:t>
      </w:r>
    </w:p>
    <w:p w14:paraId="18A1957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三、商务需求</w:t>
      </w:r>
    </w:p>
    <w:p w14:paraId="206877D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黑体" w:hAnsi="黑体" w:eastAsia="仿宋_GB2312" w:cs="黑体"/>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（一）</w:t>
      </w:r>
      <w:r>
        <w:rPr>
          <w:rFonts w:hint="eastAsia" w:ascii="仿宋_GB2312" w:hAnsi="Calibri" w:eastAsia="仿宋_GB2312" w:cs="Times New Roman"/>
          <w:b w:val="0"/>
          <w:bCs/>
          <w:color w:val="auto"/>
          <w:sz w:val="28"/>
          <w:szCs w:val="28"/>
          <w:highlight w:val="none"/>
        </w:rPr>
        <w:t>服务期：</w:t>
      </w:r>
      <w:r>
        <w:rPr>
          <w:rFonts w:hint="eastAsia" w:ascii="仿宋_GB2312" w:hAnsi="Calibri" w:eastAsia="仿宋_GB2312" w:cs="Times New Roman"/>
          <w:b w:val="0"/>
          <w:bCs/>
          <w:color w:val="auto"/>
          <w:sz w:val="28"/>
          <w:szCs w:val="28"/>
          <w:highlight w:val="none"/>
          <w:lang w:val="en-US" w:eastAsia="zh-CN"/>
        </w:rPr>
        <w:t>合同签订之日起至2026年12月底</w:t>
      </w:r>
    </w:p>
    <w:p w14:paraId="523E985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（二）</w:t>
      </w:r>
      <w:r>
        <w:rPr>
          <w:rFonts w:hint="eastAsia" w:ascii="仿宋_GB2312" w:hAnsi="Calibri" w:eastAsia="仿宋_GB2312" w:cs="Times New Roman"/>
          <w:b w:val="0"/>
          <w:bCs/>
          <w:color w:val="auto"/>
          <w:sz w:val="28"/>
          <w:szCs w:val="28"/>
          <w:highlight w:val="none"/>
        </w:rPr>
        <w:t>服务地点：</w:t>
      </w:r>
      <w:r>
        <w:rPr>
          <w:rFonts w:hint="eastAsia" w:ascii="仿宋_GB2312" w:hAnsi="Calibri" w:eastAsia="仿宋_GB2312" w:cs="Times New Roman"/>
          <w:b w:val="0"/>
          <w:bCs/>
          <w:color w:val="auto"/>
          <w:sz w:val="28"/>
          <w:szCs w:val="28"/>
          <w:highlight w:val="none"/>
          <w:lang w:eastAsia="zh-CN"/>
        </w:rPr>
        <w:t>深圳市福田区华富街道办事处</w:t>
      </w:r>
    </w:p>
    <w:p w14:paraId="026CBE5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hAnsi="Calibri" w:eastAsia="仿宋_GB2312" w:cs="Times New Roman"/>
          <w:b w:val="0"/>
          <w:bCs/>
          <w:color w:val="auto"/>
          <w:sz w:val="28"/>
          <w:szCs w:val="28"/>
          <w:highlight w:val="none"/>
          <w:lang w:val="en-US" w:eastAsia="zh-CN"/>
        </w:rPr>
        <w:t>（三）</w:t>
      </w:r>
      <w:r>
        <w:rPr>
          <w:rFonts w:hint="eastAsia" w:ascii="仿宋_GB2312" w:hAnsi="Calibri" w:eastAsia="仿宋_GB2312" w:cs="Times New Roman"/>
          <w:b w:val="0"/>
          <w:bCs/>
          <w:color w:val="auto"/>
          <w:sz w:val="28"/>
          <w:szCs w:val="28"/>
          <w:highlight w:val="none"/>
        </w:rPr>
        <w:t>报价要求：</w:t>
      </w:r>
      <w:r>
        <w:rPr>
          <w:rFonts w:hint="eastAsia" w:ascii="仿宋_GB2312" w:hAnsi="Calibri" w:eastAsia="仿宋_GB2312" w:cs="Times New Roman"/>
          <w:b w:val="0"/>
          <w:bCs/>
          <w:color w:val="auto"/>
          <w:sz w:val="28"/>
          <w:szCs w:val="28"/>
          <w:highlight w:val="none"/>
          <w:lang w:eastAsia="zh-CN"/>
        </w:rPr>
        <w:t>总预算</w:t>
      </w:r>
      <w:r>
        <w:rPr>
          <w:rFonts w:hint="eastAsia" w:ascii="仿宋_GB2312" w:hAnsi="Calibri" w:eastAsia="仿宋_GB2312" w:cs="Times New Roman"/>
          <w:b w:val="0"/>
          <w:bCs/>
          <w:color w:val="auto"/>
          <w:sz w:val="28"/>
          <w:szCs w:val="28"/>
          <w:highlight w:val="none"/>
          <w:lang w:val="en-US" w:eastAsia="zh-CN"/>
        </w:rPr>
        <w:t>79.01</w:t>
      </w:r>
      <w:r>
        <w:rPr>
          <w:rFonts w:hint="eastAsia" w:ascii="仿宋_GB2312" w:hAnsi="Calibri" w:eastAsia="仿宋_GB2312" w:cs="Times New Roman"/>
          <w:b w:val="0"/>
          <w:bCs/>
          <w:color w:val="auto"/>
          <w:sz w:val="28"/>
          <w:szCs w:val="28"/>
          <w:highlight w:val="none"/>
        </w:rPr>
        <w:t>万</w:t>
      </w:r>
      <w:r>
        <w:rPr>
          <w:rFonts w:hint="eastAsia" w:ascii="仿宋_GB2312" w:hAnsi="Calibri" w:eastAsia="仿宋_GB2312" w:cs="Times New Roman"/>
          <w:b w:val="0"/>
          <w:bCs/>
          <w:color w:val="auto"/>
          <w:sz w:val="28"/>
          <w:szCs w:val="28"/>
          <w:highlight w:val="none"/>
          <w:lang w:eastAsia="zh-CN"/>
        </w:rPr>
        <w:t>元</w:t>
      </w:r>
      <w:r>
        <w:rPr>
          <w:rFonts w:hint="eastAsia" w:ascii="仿宋_GB2312" w:hAnsi="Calibri" w:eastAsia="仿宋_GB2312" w:cs="Times New Roman"/>
          <w:b w:val="0"/>
          <w:bCs/>
          <w:color w:val="auto"/>
          <w:sz w:val="28"/>
          <w:szCs w:val="28"/>
          <w:highlight w:val="none"/>
        </w:rPr>
        <w:t>（</w:t>
      </w:r>
      <w:r>
        <w:rPr>
          <w:rFonts w:hint="eastAsia" w:ascii="仿宋_GB2312" w:hAnsi="仿宋_GB2312" w:eastAsia="仿宋_GB2312" w:cs="仿宋_GB2312"/>
          <w:b w:val="0"/>
          <w:bCs/>
          <w:color w:val="auto"/>
          <w:sz w:val="28"/>
          <w:szCs w:val="28"/>
          <w:highlight w:val="none"/>
          <w:lang w:val="en-US" w:eastAsia="zh-CN"/>
        </w:rPr>
        <w:t>累计约48场市集服务活动</w:t>
      </w:r>
      <w:r>
        <w:rPr>
          <w:rFonts w:hint="eastAsia" w:ascii="仿宋_GB2312" w:hAnsi="Calibri" w:eastAsia="仿宋_GB2312" w:cs="Times New Roman"/>
          <w:b w:val="0"/>
          <w:bCs/>
          <w:color w:val="auto"/>
          <w:sz w:val="28"/>
          <w:szCs w:val="28"/>
          <w:highlight w:val="none"/>
        </w:rPr>
        <w:t>）</w:t>
      </w:r>
    </w:p>
    <w:p w14:paraId="531F19A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1.本项目服务费采用包干制，应包括服务成本、法定税费和企业的利润，响应人应</w:t>
      </w:r>
      <w:bookmarkStart w:id="0" w:name="_GoBack"/>
      <w:bookmarkEnd w:id="0"/>
      <w:r>
        <w:rPr>
          <w:rFonts w:hint="eastAsia" w:ascii="仿宋_GB2312" w:hAnsi="Calibri" w:eastAsia="仿宋_GB2312" w:cs="Times New Roman"/>
          <w:b w:val="0"/>
          <w:bCs/>
          <w:color w:val="auto"/>
          <w:sz w:val="28"/>
          <w:szCs w:val="28"/>
          <w:highlight w:val="none"/>
          <w:lang w:val="en-US" w:eastAsia="zh-CN"/>
        </w:rPr>
        <w:t>根据采购需求文件所提供的资料、结合本企业的成本自行决定报价；</w:t>
      </w:r>
    </w:p>
    <w:p w14:paraId="3F63ABF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2.响应人经评审确定为本项目中选供应商后，响应报价及方案将提交第三方会计师事务所进行价格审核，双方签订的合同金额以事务所审核结果为准，响应人向采购人投递响应文件的，视为接受本条款；</w:t>
      </w:r>
    </w:p>
    <w:p w14:paraId="42AE286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3.响应人的报价明细应列出总报价，并结合8个社区不同的活动主题列出各社区独立项目的报价，具体为：</w:t>
      </w:r>
    </w:p>
    <w:p w14:paraId="663950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（1）莲花一村社区“幸福”系列市集服务活动（约6场活动，控制价为10.8万元）、具体服务内容：</w:t>
      </w:r>
    </w:p>
    <w:p w14:paraId="7E98EA1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①“春邻好物集·温情满社区”主题活动：打造春日元素主题社区市集，通过邻里好物置换、环保知识宣传、环保手工制作等推广绿色生活方式，提高社区居民的环保意识。</w:t>
      </w:r>
    </w:p>
    <w:p w14:paraId="0D59605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②“活力家园·劳动筑梦”主题活动：以“劳动最光荣”为主题，特别设置团队协作项目，设置飞盘接力、趣味足球等团队协作项目，体现团结协作精神。</w:t>
      </w:r>
    </w:p>
    <w:p w14:paraId="2EC638A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③“知行共筑·安全家盟”主题活动 ：以户外市集为载体，通过手工创作与游戏互动结合的形式，向社区居民传递消防安全、居家安全、出行安全等核心知识 。</w:t>
      </w:r>
    </w:p>
    <w:p w14:paraId="1F2167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④“巧手传情·邻里聚艺”主题活动：在七夕佳节之际，通过汉服体验、古风游园、中国结编织、团扇制作展现匠心之美，在传统技艺中感受东方浪漫。</w:t>
      </w:r>
    </w:p>
    <w:p w14:paraId="5AD1681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⑤“银龄同行·礼迎APEC”主题活动：设置敬老爱老暖心服务、APEC文化宣传、礼仪科普、知识问答、APEC主题手工活动等，营造“敬老+助盛会”的双重氛围。</w:t>
      </w:r>
    </w:p>
    <w:p w14:paraId="2C34DC1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⑥“冬宜暖聚·悦享时光”主题活动：通过微景观、刺绣、非遗手工等体验，在冬日里营造温暖愉悦的社区氛围。</w:t>
      </w:r>
    </w:p>
    <w:p w14:paraId="320129C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（2）莲花二村社区“幸福”系列市集服务活动（约6场活动，控制价为12.06万元）、具体服务内容：</w:t>
      </w:r>
    </w:p>
    <w:p w14:paraId="70C7168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①“巾帼绽芳，邻里同心”主题活动：本次活动聚焦女性需求，以手工体验与互动交流为纽带，融入传统手工艺与国风文化元素。</w:t>
      </w:r>
    </w:p>
    <w:p w14:paraId="455CAF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②“劳动筑美，乐享家园”主题活动：本次活动以劳动为核心，将手工实践、科普教育与社区共建深度结合。</w:t>
      </w:r>
    </w:p>
    <w:p w14:paraId="492932E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③“童趣科技，智启暑光”主题活动：本次活动以科创体验为核心，将前沿科技融入社区生活，让居民尤其是青少年在家门口就能感受科技的魅力，实现“科技服务到家”。</w:t>
      </w:r>
    </w:p>
    <w:p w14:paraId="01C8FB5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④“暑乐融融，聚力相拥”主题活动：本次活动紧扣夏日特色与暑期需求，以手工体验与趣味互动为核心，让青少年在游戏中释放活力、锻炼反应能力与协作能力，也让家长在参与中增进亲子情感。</w:t>
      </w:r>
    </w:p>
    <w:p w14:paraId="2009D1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⑤“重阳敬长，非遗传韵”主题活动：本次活动以重阳敬老为核心，以非遗体验为载体，实现传统美德传承与文化保护的有机融合。</w:t>
      </w:r>
    </w:p>
    <w:p w14:paraId="6A28FC7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⑥“冬韵情长，莲二启航”主题活动：本次活动以冬日文化为底蕴，融入小雪、冬至等冬日节气元素与传统年俗文化。</w:t>
      </w:r>
    </w:p>
    <w:p w14:paraId="0D36B11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（3）莲花三村社区“幸福”系列市集服务活动（约6场活动，控制价为9.8万元）、具体服务内容：</w:t>
      </w:r>
    </w:p>
    <w:p w14:paraId="399775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①“阳春三月·邻里欢集”主题活动：本场主题活动以春季为契机，通过非遗手工创作与互动体验，让居民近距离感受传统非遗技艺的独特魅力，增进居民对非遗文化的认知与喜爱。</w:t>
      </w:r>
    </w:p>
    <w:p w14:paraId="3F18850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②“初夏和风·姝丽悦集”主题活动：本场主题活动以母亲节为纽带，聚焦社区全体女性，紧扣“被爱与自爱”双重核心，以温情传递社区关怀，致敬女性在家庭中的坚守、在社区中的联结之力。</w:t>
      </w:r>
    </w:p>
    <w:p w14:paraId="061AD4F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③“盛夏蝉鸣·烟火市集”主题活动：本场主题活动以“清凉消暑”、“邻里共融”为核心，融手工体验、互动游戏与公益便民服务于一体，覆盖全龄段居民需求。</w:t>
      </w:r>
    </w:p>
    <w:p w14:paraId="5E8EC27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④“清秋将至·好物云集”主题活动：本场主题活动紧扣秋学季学生需求，以科技手工为核心载体，设置趣味科技手工制作与互动游戏，帮助学生缓解入学焦虑。</w:t>
      </w:r>
    </w:p>
    <w:p w14:paraId="3CD7EA4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⑤“聚力APEC·暖邻市集”主题活动：本场主题活动以APEC专题与国庆月元素融合，设置APEC专题问答、互动体验及健康便民服务等多元内容，既让群众了解APEC文化、扩大胸怀视野，又能普及健康知识、在温馨互动中传递温暖正能量。</w:t>
      </w:r>
    </w:p>
    <w:p w14:paraId="147B0CB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⑥“冬韵渐浓·岁安闲集”主题活动：本场主题活动锚定年度总结与暖冬欢聚双重节点，以社区年度发展成果展为序，串联特色手工创作、趣味互动游戏等多元环节。</w:t>
      </w:r>
    </w:p>
    <w:p w14:paraId="5671C51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（4）新田社区“幸福”系列市集服务活动（约6场活动，控制价为10.4万元）、具体服务内容：</w:t>
      </w:r>
    </w:p>
    <w:p w14:paraId="785EFCC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①“春分”送暖践初心，党群同心启新程主题活动：紧扣春分与党群共建主题，手工区设笔筒、永生苔藓画等6项DIY，互动区有垃圾分类投掷等3类趣味游戏，融入环保理念讲解。</w:t>
      </w:r>
    </w:p>
    <w:p w14:paraId="3E51FAC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②“悦享银龄，情暖社区”主题活动:紧扣“银发经济”主题，开展流金岁月相框、香薰蜡烛等6类DIY项目和弹弹棋等游戏，鼓励“老少同乐”，让老年人在动手动脑中感受生活乐趣。</w:t>
      </w:r>
    </w:p>
    <w:p w14:paraId="0DAF646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③“凝‘新’聚力，共筑新篇”主题活动：呼应APEC包容合作理念，通过竹编、宋锦等创意DIY和团队互动活动，帮助新居民快速融入社区，搭建交流桥梁，凝聚“新”力量，携手共筑社区美好新篇。</w:t>
      </w:r>
    </w:p>
    <w:p w14:paraId="413967B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④“科技赋能，幸福启航”主题活动：契合APEC科技创新主题，开展声控机器人、显微镜等6类科技DIY，互动区设迷宫滚球、体感赛跑等游戏，激发居民科学探索欲，以科技赋能智慧社区建设，提升生活品质。</w:t>
      </w:r>
    </w:p>
    <w:p w14:paraId="78CA2C9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⑤“消费焕新，乐享生活”主题活动：呼应APEC绿色消费理念，手工区有郁金香小夜灯、尤克里里等6项DIY，互动区设消费知识闯关等，联动商家传递理性消费观，让居民在体验中乐享便捷实惠生活。</w:t>
      </w:r>
    </w:p>
    <w:p w14:paraId="1547C28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⑥“冬日友好，共启新篇”主题活动：契合APEC互联互通精神，手工区有创意雪人、手指围巾等6类DIY，互动区设四子棋、成语猜猜乐等，鼓励居民互助共享，营造包容友爱的社区氛围。</w:t>
      </w:r>
    </w:p>
    <w:p w14:paraId="516396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（5）田面社区“幸福”系列市集服务活动（约6场活动，控制价为8.15万元）、具体服务内容：</w:t>
      </w:r>
    </w:p>
    <w:p w14:paraId="512CEDA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①“初心市集聚福气惠民年货贺新岁”主题活动：开展福字剪纸、马年主题拓印等手工活动，搭配初心祈福墙与“年年有鱼”互动游戏，为居民送上新春祝福。</w:t>
      </w:r>
    </w:p>
    <w:p w14:paraId="2A0AADA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②“绿色经济赋能民生惠民消费点亮生活”主题活动：以绿色消费为核心，设惠民服务摊位，推出环保帆布袋、创意树枝画等手工体验，通过绿色消费“大闯关”互动普及环保理念。</w:t>
      </w:r>
    </w:p>
    <w:p w14:paraId="4F0BD78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③“邻里好物齐分享消费惠民共欢腾”主题活动：开展扭扭棒相框花束、铃兰花摆件等手工制作，举办邻里好物义卖与“筷步如飞”游戏，促进邻里互动与闲置资源循环。</w:t>
      </w:r>
    </w:p>
    <w:p w14:paraId="0D929EA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④“平安一夏护万家安全相伴助成长”主题活动：开展安全主题纽扣画、云梯消防车模型制作等活动，普及安全知识与APEC会议知识。</w:t>
      </w:r>
    </w:p>
    <w:p w14:paraId="5EDB94B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⑤“师恩沐邻里文明润社区”主题活动：推出教师节钻石画、压花台灯等手工制作，组织邻里共绘APEC盛会文明长卷，传递尊师重教风尚与对APEC盛会的期盼。</w:t>
      </w:r>
    </w:p>
    <w:p w14:paraId="493929F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⑥“立冬送暖党群同心”主题活动：开展立冬创意树叶粘贴画、养生香囊等手工活动，举办APEC礼仪小课堂，为居民送上冬日温暖与文明礼仪知识。</w:t>
      </w:r>
    </w:p>
    <w:p w14:paraId="61A84AB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（6）黄木岗社区“幸福”系列市集服务活动（约6场活动，控制价为10.5万元）、具体服务内容：、</w:t>
      </w:r>
    </w:p>
    <w:p w14:paraId="5F3B911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①“春日暖乡・幸福邻里趣玩季”主题活动：开展绒感嫩芽盆栽、春日肌理画等手工互动及春日拼图大合体游戏，旨在搭建邻里交流平台，营造温暖和谐的社区氛围。</w:t>
      </w:r>
    </w:p>
    <w:p w14:paraId="2D266AC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②“暖心便民市集・指尖幸福嘉年华”主题活动：配套苔藓微景观瓶、木质印章 DIY 等创意手作及 “草木猜猜猜” 互动挑战，切实为辖区居民及游客提供便民服务与文化体验，增进邻里情谊。</w:t>
      </w:r>
    </w:p>
    <w:p w14:paraId="121496F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③“夏意满街巷・幸福伴你行”主题活动：开展纸艺捕梦网、冰纹玻璃杯等清凉主题手作及 “清凉套圈” 互动游戏，为居民游客送上夏日关怀，提升社区凝聚力。</w:t>
      </w:r>
    </w:p>
    <w:p w14:paraId="2E69B8A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④“本草拾香・邻里手作绘夏”主题活动：开展干花蜡烛、中草药拼贴画等本草主题手作，配套 “趣味投壶” 互动及糖画特色体验，丰富居民夏日文化生活，传承传统民俗文化。</w:t>
      </w:r>
    </w:p>
    <w:p w14:paraId="760EF4C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⑤“庆华诞・享秋韵”主题活动：开展宋锦苗银冰箱贴、树叶拼贴画等秋意手作，搭配 “红歌听曲猜歌” 挑战及棉花糖体验，弘扬家国情怀，凝聚邻里同心，营造喜庆祥和的节日氛围。</w:t>
      </w:r>
    </w:p>
    <w:p w14:paraId="21269E8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⑥“暖冬趣享・幸福邻里节”主题活动：开展毛线手套装饰、棉花云朵挂饰等暖冬主题手作及 “暖冬套圈赢好物” 互动，切实传递社区温暖，提升居民幸福感与归属感。</w:t>
      </w:r>
    </w:p>
    <w:p w14:paraId="461E771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（7）华山社区“幸福”系列市集服务活动（约6场活动，控制价为8.5万元）、具体服务内容：</w:t>
      </w:r>
    </w:p>
    <w:p w14:paraId="14C22D9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①“心动暖春·爱意相传”主题活动：通过制作永生花团扇、春日情书信封、手模拓印及爱心拼图游戏，为居民带来趣味体验。</w:t>
      </w:r>
    </w:p>
    <w:p w14:paraId="30715A7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②“踏青寻春·民俗拾趣”主题活动：通过春日草木染手作,竹编风筝DIY、雨滴风铃制作及民俗拼图游戏，让居民沉浸式体验春日民俗乐趣。</w:t>
      </w:r>
    </w:p>
    <w:p w14:paraId="5A143DA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③“清凉盛夏·童趣狂欢”主题活动：通过制作荷花灯、夏日藤编挂饰、中国非遗手工折扇DIY及清凉气球接力游戏，丰富居民盛夏文化生活，营造欢乐童趣的夏日氛围。</w:t>
      </w:r>
    </w:p>
    <w:p w14:paraId="5B805A9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④“迷彩盛夏·守护同行”主题活动：通过卡其色帆布包涂鸦、木质军牌DIY、彩绘飞盘、创意草帽彩绘、手工马赛克DIY花瓶及团队默契拼图赛，丰富居民夏日休闲生活，提升邻里互动体验。</w:t>
      </w:r>
    </w:p>
    <w:p w14:paraId="016DEE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⑤“桂香初秋·团圆喜乐”主题活动：通过非遗花草纸灯笼、秋叶拼贴画、天然石编织胸针、竹编迷你月饼篮、非遗干花青花陶瓷画及中秋词语接龙游戏，让居民感受初秋桂香与中秋团圆氛围。</w:t>
      </w:r>
    </w:p>
    <w:p w14:paraId="6E0F813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⑥“丰收传情・开放同行”主题活动：通过APEC主题松果挂饰、“共赢麦穗”扭扭乐、“睦邻芬芳”干花无火香薰DIY、“活力绽放” 甜甜圈抱枕、“国潮・国际”脸谱托特包等趣味体验，传递丰收喜悦，弘扬国际合作共赢理念。</w:t>
      </w:r>
    </w:p>
    <w:p w14:paraId="3365EF2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（8）梅岗社区“幸福”系列市集服务活动（约6场活动，控制价为8.8万元）、具体服务内容：</w:t>
      </w:r>
    </w:p>
    <w:p w14:paraId="01A39A4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①“暖冬寻趣·盼春启新”主题活动：设置羊毛毡戳戳乐相框画、黏土盆栽、红绳手链、手绘灯笼、拼布杯垫、种子画、写春联、套圈挑战等活动摊位。</w:t>
      </w:r>
    </w:p>
    <w:p w14:paraId="02AE36D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②“踏青寻春·春满人间”主题活动：设置艾草香囊制作、拓印帆布包、纸鸢DIY、青团黏土摆件、叶脉书签制作、春日微景观、诗词接龙等活动摊位。</w:t>
      </w:r>
    </w:p>
    <w:p w14:paraId="6D89DB8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③“童心向党・粽享欢乐”主题活动：设置彩绳挂饰、五彩幸运手链、绿叶创意画、龙舟模型制作、菖蒲驱蚊香包、咸鸭蛋壳画、龙舟竞速赛等活动摊位。</w:t>
      </w:r>
    </w:p>
    <w:p w14:paraId="12D6AF7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④“盛夏纳凉·童趣飞扬”主题活动：设置冰爽扇DIY、海洋主题风铃、手持小风扇装饰、黏土杯垫、香膏DIY、萤火虫灯笼制作、国际礼仪知识大竞答等活动摊位。</w:t>
      </w:r>
    </w:p>
    <w:p w14:paraId="26B4AF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⑤“金秋丰收·月满情长”主题活动：设置中秋灯笼DIY、丰收谷物画、玉兔黏土摆件、竹编丰收小簸箕、非遗笔筒DIY、宋锦珍珠画手工DIY、月满丰收套圈乐等活动摊位。</w:t>
      </w:r>
    </w:p>
    <w:p w14:paraId="5E518EE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⑥“初冬暖趣·感恩同行”主题活动：设置初冬松果摆件、拓印帆布包、干花蜡片、掐丝珐琅画DIY材料茶盘、拼装音乐盒、暖冬拯救海洋小卫士等活动摊位。</w:t>
      </w:r>
    </w:p>
    <w:p w14:paraId="74A28E0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4.响应人的报价，应是本项目采购范围和采购文件及合同条款上所列的各项内容中所述的全部，不得以任何理由予以重复，并以响应人最终提出的综合单价或总价为依据；</w:t>
      </w:r>
    </w:p>
    <w:p w14:paraId="7B706C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5.除非采购人通过修改采购文件予以更正，否则，响应人应毫无例外地按响应文件所列的清单中项目和数量填报综合单价和合价。响应人未填综合单价或合价的项目，在实施后，将不得予以支付，并视作该项费用已包括在其它有价款的综合单价；</w:t>
      </w:r>
    </w:p>
    <w:p w14:paraId="6CC0A3D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6.响应人应先到项目地点踏勘以充分了解项目的位置、情况、道路及任何其他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14:paraId="6B8934C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（四）</w:t>
      </w:r>
      <w:r>
        <w:rPr>
          <w:rFonts w:hint="eastAsia" w:ascii="仿宋_GB2312" w:hAnsi="Calibri" w:eastAsia="仿宋_GB2312" w:cs="Times New Roman"/>
          <w:b w:val="0"/>
          <w:bCs/>
          <w:color w:val="auto"/>
          <w:sz w:val="28"/>
          <w:szCs w:val="28"/>
          <w:highlight w:val="none"/>
        </w:rPr>
        <w:t>付款方式：按照</w:t>
      </w:r>
      <w:r>
        <w:rPr>
          <w:rFonts w:hint="eastAsia" w:ascii="仿宋_GB2312" w:hAnsi="Calibri" w:eastAsia="仿宋_GB2312" w:cs="Times New Roman"/>
          <w:b w:val="0"/>
          <w:bCs/>
          <w:color w:val="auto"/>
          <w:sz w:val="28"/>
          <w:szCs w:val="28"/>
          <w:highlight w:val="none"/>
          <w:lang w:eastAsia="zh-CN"/>
        </w:rPr>
        <w:t>各社区</w:t>
      </w:r>
      <w:r>
        <w:rPr>
          <w:rFonts w:hint="eastAsia" w:ascii="仿宋_GB2312" w:hAnsi="Calibri" w:eastAsia="仿宋_GB2312" w:cs="Times New Roman"/>
          <w:b w:val="0"/>
          <w:bCs/>
          <w:color w:val="auto"/>
          <w:sz w:val="28"/>
          <w:szCs w:val="28"/>
          <w:highlight w:val="none"/>
        </w:rPr>
        <w:t>合同具体约定条款支付</w:t>
      </w:r>
    </w:p>
    <w:p w14:paraId="6985DEC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（五）履约担保金：无</w:t>
      </w:r>
    </w:p>
    <w:p w14:paraId="325EE98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（六）违约责任：</w:t>
      </w:r>
    </w:p>
    <w:p w14:paraId="3C0A8B2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1</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因中标服务商的原因导致无法按合同条款履约的，中止服务合同，中标服务商全额返还已支付的服务费给街道。</w:t>
      </w:r>
    </w:p>
    <w:p w14:paraId="5C2E35F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2</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因政策等不可抗拒的原因导致合同无法履行的，华富街道办事处可以提前终止合同，已支付款项视实际情况予以收回。</w:t>
      </w:r>
    </w:p>
    <w:p w14:paraId="171DAE0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28"/>
          <w:szCs w:val="28"/>
          <w:highlight w:val="none"/>
          <w:lang w:eastAsia="zh-CN"/>
        </w:rPr>
        <w:t>四</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sz w:val="28"/>
          <w:szCs w:val="28"/>
          <w:highlight w:val="none"/>
          <w:lang w:eastAsia="zh-CN"/>
        </w:rPr>
        <w:t>供应商响应文件组成及格式</w:t>
      </w:r>
    </w:p>
    <w:p w14:paraId="0674787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供应商应提供以下文件，并落款公章，加盖骑缝章：</w:t>
      </w:r>
    </w:p>
    <w:p w14:paraId="4DC19A3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（一）单位法人资格证明、授权委托书原件及授权委托人身份证复印件；</w:t>
      </w:r>
    </w:p>
    <w:p w14:paraId="2DE7691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（二）企业经营范围和相关执照资质；</w:t>
      </w:r>
    </w:p>
    <w:p w14:paraId="1FAA0EE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（三）供应商基本情况表；</w:t>
      </w:r>
    </w:p>
    <w:p w14:paraId="60E2B78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（四）投标供应商无违法违规行为承诺书；</w:t>
      </w:r>
    </w:p>
    <w:p w14:paraId="70E5A77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（五）项目实施方案；</w:t>
      </w:r>
    </w:p>
    <w:p w14:paraId="0C0CE4D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（六）报价单；</w:t>
      </w:r>
    </w:p>
    <w:p w14:paraId="70B33F2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（七）履约承诺函；</w:t>
      </w:r>
    </w:p>
    <w:p w14:paraId="6D207D8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pPr>
      <w:r>
        <w:rPr>
          <w:rFonts w:hint="eastAsia" w:ascii="仿宋_GB2312" w:hAnsi="Calibri" w:eastAsia="仿宋_GB2312" w:cs="Times New Roman"/>
          <w:b w:val="0"/>
          <w:bCs/>
          <w:color w:val="auto"/>
          <w:kern w:val="2"/>
          <w:sz w:val="28"/>
          <w:szCs w:val="28"/>
          <w:highlight w:val="none"/>
          <w:lang w:val="en-US" w:eastAsia="zh-CN" w:bidi="ar-SA"/>
        </w:rPr>
        <w:t>（八）参与过民微项目或者政府采购服务的相关案例、业绩情况。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B92DC0-68BC-412B-90F9-CA760843D5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2C67D67-2479-406C-8745-5864C00BB0E7}"/>
  </w:font>
  <w:font w:name="方正小标宋简体">
    <w:panose1 w:val="03000509000000000000"/>
    <w:charset w:val="86"/>
    <w:family w:val="script"/>
    <w:pitch w:val="default"/>
    <w:sig w:usb0="00000001" w:usb1="080E0000" w:usb2="00000000" w:usb3="00000000" w:csb0="00040000" w:csb1="00000000"/>
    <w:embedRegular r:id="rId3" w:fontKey="{B988E135-34EB-469D-84DC-7030B6F4C5EE}"/>
  </w:font>
  <w:font w:name="仿宋_GB2312">
    <w:panose1 w:val="02010609030101010101"/>
    <w:charset w:val="86"/>
    <w:family w:val="auto"/>
    <w:pitch w:val="default"/>
    <w:sig w:usb0="00000001" w:usb1="080E0000" w:usb2="00000000" w:usb3="00000000" w:csb0="00040000" w:csb1="00000000"/>
    <w:embedRegular r:id="rId4" w:fontKey="{84DEBD5F-6B66-4C2E-9DC9-AC037AA73A6D}"/>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41983"/>
    <w:rsid w:val="07A817AD"/>
    <w:rsid w:val="097F1A2A"/>
    <w:rsid w:val="09ED4C49"/>
    <w:rsid w:val="0DC9777B"/>
    <w:rsid w:val="0E63372C"/>
    <w:rsid w:val="112F57FF"/>
    <w:rsid w:val="126A7C00"/>
    <w:rsid w:val="1A644AB4"/>
    <w:rsid w:val="1DCB4E4A"/>
    <w:rsid w:val="1DD41983"/>
    <w:rsid w:val="210E5779"/>
    <w:rsid w:val="2C7DEDE7"/>
    <w:rsid w:val="2DEF18BE"/>
    <w:rsid w:val="35AF0E81"/>
    <w:rsid w:val="37B7226F"/>
    <w:rsid w:val="39FE2A39"/>
    <w:rsid w:val="39FF78C0"/>
    <w:rsid w:val="3DFD5CAA"/>
    <w:rsid w:val="3FFC9007"/>
    <w:rsid w:val="40F167F2"/>
    <w:rsid w:val="42755200"/>
    <w:rsid w:val="457F52A5"/>
    <w:rsid w:val="511B3417"/>
    <w:rsid w:val="6697440A"/>
    <w:rsid w:val="690D7691"/>
    <w:rsid w:val="6A7F65C7"/>
    <w:rsid w:val="6CCD39A0"/>
    <w:rsid w:val="6FE70C3C"/>
    <w:rsid w:val="6FF11443"/>
    <w:rsid w:val="71970440"/>
    <w:rsid w:val="76AC04E9"/>
    <w:rsid w:val="77FC286F"/>
    <w:rsid w:val="7C5D5D09"/>
    <w:rsid w:val="7E7ADDD2"/>
    <w:rsid w:val="9EEFB32F"/>
    <w:rsid w:val="A7F22C38"/>
    <w:rsid w:val="BF1F35E3"/>
    <w:rsid w:val="F7DEF1BF"/>
    <w:rsid w:val="F7E9C545"/>
    <w:rsid w:val="FED46D1F"/>
    <w:rsid w:val="FED90552"/>
    <w:rsid w:val="FF738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kinsoku w:val="0"/>
      <w:autoSpaceDE w:val="0"/>
      <w:autoSpaceDN w:val="0"/>
      <w:adjustRightInd w:val="0"/>
      <w:snapToGrid w:val="0"/>
      <w:spacing w:before="100" w:beforeAutospacing="1" w:after="100" w:afterAutospacing="1" w:line="240" w:lineRule="auto"/>
      <w:jc w:val="left"/>
      <w:textAlignment w:val="baseline"/>
      <w:outlineLvl w:val="0"/>
    </w:pPr>
    <w:rPr>
      <w:rFonts w:ascii="宋体" w:hAnsi="宋体" w:eastAsia="Arial" w:cs="宋体"/>
      <w:b/>
      <w:bCs/>
      <w:snapToGrid w:val="0"/>
      <w:color w:val="000000"/>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5481</Words>
  <Characters>5635</Characters>
  <Lines>0</Lines>
  <Paragraphs>0</Paragraphs>
  <TotalTime>88</TotalTime>
  <ScaleCrop>false</ScaleCrop>
  <LinksUpToDate>false</LinksUpToDate>
  <CharactersWithSpaces>5650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2025-12-03T10:12:00Z</dcterms:created>
  <dc:creator>张青</dc:creator>
  <cp:lastModifiedBy>★</cp:lastModifiedBy>
  <dcterms:modified xsi:type="dcterms:W3CDTF">2026-01-22T08:20:05Z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122A25282708440FAC02B2B102105484_13</vt:lpwstr>
  </property>
  <property fmtid="{D5CDD505-2E9C-101B-9397-08002B2CF9AE}" pid="4" name="KSOTemplateDocerSaveRecord">
    <vt:lpwstr>eyJoZGlkIjoiMGYwZTBkZWM3ZjI5MjA1ODM0NTk1ZWJkNzk4YTQ2MWMiLCJ1c2VySWQiOiIyMzQ4Nzg4MDEifQ==</vt:lpwstr>
  </property>
</Properties>
</file>