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w w:val="100"/>
          <w:sz w:val="44"/>
          <w:szCs w:val="44"/>
          <w:lang w:val="en-US" w:eastAsia="zh-CN"/>
        </w:rPr>
      </w:pPr>
      <w:bookmarkStart w:id="0" w:name="OLE_LINK1"/>
      <w:r>
        <w:rPr>
          <w:rFonts w:hint="eastAsia" w:ascii="方正小标宋简体" w:hAnsi="方正小标宋简体" w:eastAsia="方正小标宋简体" w:cs="方正小标宋简体"/>
          <w:color w:val="000000"/>
          <w:w w:val="100"/>
          <w:sz w:val="44"/>
          <w:szCs w:val="44"/>
          <w:lang w:val="en-US" w:eastAsia="zh-CN"/>
        </w:rPr>
        <w:t>深圳市医疗保障局福田分局关于《支持和加强</w:t>
      </w:r>
      <w:r>
        <w:rPr>
          <w:rFonts w:hint="eastAsia" w:ascii="方正小标宋简体" w:hAnsi="方正小标宋简体" w:eastAsia="方正小标宋简体" w:cs="方正小标宋简体"/>
          <w:color w:val="000000"/>
          <w:w w:val="96"/>
          <w:sz w:val="44"/>
          <w:szCs w:val="44"/>
          <w:lang w:val="en-US" w:eastAsia="zh-CN"/>
        </w:rPr>
        <w:t>福田区基层医疗康复能力建设 推动脑卒中患者</w:t>
      </w:r>
      <w:r>
        <w:rPr>
          <w:rFonts w:hint="eastAsia" w:ascii="方正小标宋简体" w:hAnsi="方正小标宋简体" w:eastAsia="方正小标宋简体" w:cs="方正小标宋简体"/>
          <w:color w:val="000000"/>
          <w:w w:val="99"/>
          <w:sz w:val="44"/>
          <w:szCs w:val="44"/>
          <w:lang w:val="en-US" w:eastAsia="zh-CN"/>
        </w:rPr>
        <w:t>康复在社区的建议》的</w:t>
      </w:r>
      <w:bookmarkEnd w:id="0"/>
      <w:r>
        <w:rPr>
          <w:rFonts w:hint="eastAsia" w:ascii="方正小标宋简体" w:hAnsi="方正小标宋简体" w:eastAsia="方正小标宋简体" w:cs="方正小标宋简体"/>
          <w:color w:val="000000"/>
          <w:w w:val="99"/>
          <w:sz w:val="44"/>
          <w:szCs w:val="44"/>
          <w:lang w:val="en-US" w:eastAsia="zh-CN"/>
        </w:rPr>
        <w:t>答复函</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1570" w:leftChars="0" w:right="0" w:rightChars="0" w:hanging="1570" w:hangingChars="500"/>
        <w:jc w:val="lef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spacing w:val="-3"/>
          <w:sz w:val="32"/>
          <w:szCs w:val="32"/>
          <w:highlight w:val="none"/>
          <w:lang w:val="en-US" w:eastAsia="zh-CN"/>
          <w14:textFill>
            <w14:solidFill>
              <w14:schemeClr w14:val="tx1"/>
            </w14:solidFill>
          </w14:textFill>
        </w:rPr>
        <w:t>林汉利代表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仿宋_GB2312" w:hAnsi="仿宋_GB2312" w:eastAsia="仿宋_GB2312" w:cs="仿宋_GB2312"/>
          <w:b w:val="0"/>
          <w:bCs/>
          <w:color w:val="000000" w:themeColor="text1"/>
          <w:spacing w:val="-3"/>
          <w:sz w:val="32"/>
          <w:szCs w:val="32"/>
          <w:highlight w:val="none"/>
          <w:lang w:val="en-US" w:eastAsia="zh-CN"/>
          <w14:textFill>
            <w14:solidFill>
              <w14:schemeClr w14:val="tx1"/>
            </w14:solidFill>
          </w14:textFill>
        </w:rPr>
      </w:pPr>
      <w:r>
        <w:rPr>
          <w:rFonts w:hint="default" w:ascii="仿宋_GB2312" w:hAnsi="仿宋_GB2312" w:eastAsia="仿宋_GB2312" w:cs="仿宋_GB2312"/>
          <w:b w:val="0"/>
          <w:bCs/>
          <w:color w:val="000000" w:themeColor="text1"/>
          <w:spacing w:val="-3"/>
          <w:sz w:val="32"/>
          <w:szCs w:val="32"/>
          <w:highlight w:val="none"/>
          <w:lang w:val="en-US" w:eastAsia="zh-CN"/>
          <w14:textFill>
            <w14:solidFill>
              <w14:schemeClr w14:val="tx1"/>
            </w14:solidFill>
          </w14:textFill>
        </w:rPr>
        <w:t>您提出的《</w:t>
      </w:r>
      <w:r>
        <w:rPr>
          <w:rFonts w:hint="eastAsia" w:ascii="仿宋_GB2312" w:hAnsi="仿宋_GB2312" w:eastAsia="仿宋_GB2312" w:cs="仿宋_GB2312"/>
          <w:b w:val="0"/>
          <w:bCs/>
          <w:color w:val="000000" w:themeColor="text1"/>
          <w:spacing w:val="-3"/>
          <w:sz w:val="32"/>
          <w:szCs w:val="32"/>
          <w:highlight w:val="none"/>
          <w:lang w:val="en-US" w:eastAsia="zh-CN"/>
          <w14:textFill>
            <w14:solidFill>
              <w14:schemeClr w14:val="tx1"/>
            </w14:solidFill>
          </w14:textFill>
        </w:rPr>
        <w:t>关于支持和加强福田区基层医疗康复能力建设，推动脑卒中患者康复在社区的建议</w:t>
      </w:r>
      <w:r>
        <w:rPr>
          <w:rFonts w:hint="default" w:ascii="仿宋_GB2312" w:hAnsi="仿宋_GB2312" w:eastAsia="仿宋_GB2312" w:cs="仿宋_GB2312"/>
          <w:b w:val="0"/>
          <w:bCs/>
          <w:color w:val="000000" w:themeColor="text1"/>
          <w:spacing w:val="-3"/>
          <w:sz w:val="32"/>
          <w:szCs w:val="32"/>
          <w:highlight w:val="none"/>
          <w:lang w:val="en-US" w:eastAsia="zh-CN"/>
          <w14:textFill>
            <w14:solidFill>
              <w14:schemeClr w14:val="tx1"/>
            </w14:solidFill>
          </w14:textFill>
        </w:rPr>
        <w:t>》收悉。经研究，</w:t>
      </w:r>
      <w:r>
        <w:rPr>
          <w:rFonts w:hint="eastAsia" w:ascii="仿宋_GB2312" w:hAnsi="仿宋_GB2312" w:eastAsia="仿宋_GB2312" w:cs="仿宋_GB2312"/>
          <w:b w:val="0"/>
          <w:bCs/>
          <w:color w:val="000000" w:themeColor="text1"/>
          <w:spacing w:val="-3"/>
          <w:sz w:val="32"/>
          <w:szCs w:val="32"/>
          <w:highlight w:val="none"/>
          <w:lang w:val="en-US" w:eastAsia="zh-CN"/>
          <w14:textFill>
            <w14:solidFill>
              <w14:schemeClr w14:val="tx1"/>
            </w14:solidFill>
          </w14:textFill>
        </w:rPr>
        <w:t>现</w:t>
      </w:r>
      <w:r>
        <w:rPr>
          <w:rFonts w:hint="default" w:ascii="仿宋_GB2312" w:hAnsi="仿宋_GB2312" w:eastAsia="仿宋_GB2312" w:cs="仿宋_GB2312"/>
          <w:b w:val="0"/>
          <w:bCs/>
          <w:color w:val="000000" w:themeColor="text1"/>
          <w:spacing w:val="-3"/>
          <w:sz w:val="32"/>
          <w:szCs w:val="32"/>
          <w:highlight w:val="none"/>
          <w:lang w:val="en-US" w:eastAsia="zh-CN"/>
          <w14:textFill>
            <w14:solidFill>
              <w14:schemeClr w14:val="tx1"/>
            </w14:solidFill>
          </w14:textFill>
        </w:rPr>
        <w:t>答复如下：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一、办理过程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分局在收到建议后高度重视，立即对医保支持脑卒中患者在社区康复的相关政策进行研究，并于2025年6月6日与林汉利代表进行电话沟通，介绍了本市康复医疗服务的相关政策，就建议内容进行了探讨，并将相关情况通过粤政易发送给林汉利代表，最终形成书面反馈意见。</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黑体" w:hAnsi="黑体" w:eastAsia="黑体" w:cs="黑体"/>
          <w:b w:val="0"/>
          <w:bCs/>
          <w:color w:val="000000" w:themeColor="text1"/>
          <w:spacing w:val="-3"/>
          <w:sz w:val="32"/>
          <w:szCs w:val="32"/>
          <w:highlight w:val="none"/>
          <w:lang w:val="en-US" w:eastAsia="zh-CN"/>
          <w14:textFill>
            <w14:solidFill>
              <w14:schemeClr w14:val="tx1"/>
            </w14:solidFill>
          </w14:textFill>
        </w:rPr>
      </w:pPr>
      <w:r>
        <w:rPr>
          <w:rFonts w:hint="eastAsia" w:ascii="黑体" w:hAnsi="黑体" w:eastAsia="黑体" w:cs="黑体"/>
          <w:b w:val="0"/>
          <w:bCs/>
          <w:color w:val="000000" w:themeColor="text1"/>
          <w:spacing w:val="-3"/>
          <w:sz w:val="32"/>
          <w:szCs w:val="32"/>
          <w:highlight w:val="none"/>
          <w:lang w:val="en-US" w:eastAsia="zh-CN"/>
          <w14:textFill>
            <w14:solidFill>
              <w14:schemeClr w14:val="tx1"/>
            </w14:solidFill>
          </w14:textFill>
        </w:rPr>
        <w:t>二、办理情况</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仿宋_GB2312" w:hAnsi="仿宋_GB2312" w:eastAsia="仿宋_GB2312" w:cs="仿宋_GB2312"/>
          <w:b w:val="0"/>
          <w:bCs/>
          <w:color w:val="000000" w:themeColor="text1"/>
          <w:spacing w:val="-3"/>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pacing w:val="-3"/>
          <w:sz w:val="32"/>
          <w:szCs w:val="32"/>
          <w:highlight w:val="none"/>
          <w:lang w:val="en-US" w:eastAsia="zh-CN"/>
          <w14:textFill>
            <w14:solidFill>
              <w14:schemeClr w14:val="tx1"/>
            </w14:solidFill>
          </w14:textFill>
        </w:rPr>
        <w:t>我分局支持和加强基层医疗机构康复能力建设，积极推动脑卒中康复进基层。</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宋体" w:eastAsia="仿宋_GB2312" w:cs="仿宋_GB2312"/>
          <w:color w:val="000000"/>
          <w:kern w:val="0"/>
          <w:sz w:val="32"/>
          <w:szCs w:val="32"/>
          <w:lang w:val="en-US" w:eastAsia="zh-CN"/>
        </w:rPr>
      </w:pPr>
      <w:r>
        <w:rPr>
          <w:rFonts w:hint="eastAsia" w:ascii="楷体_GB2312" w:hAnsi="楷体_GB2312" w:eastAsia="楷体_GB2312" w:cs="楷体_GB2312"/>
          <w:b w:val="0"/>
          <w:bCs w:val="0"/>
          <w:color w:val="000000"/>
          <w:kern w:val="0"/>
          <w:sz w:val="32"/>
          <w:szCs w:val="32"/>
          <w:lang w:val="en-US" w:eastAsia="zh-CN"/>
        </w:rPr>
        <w:t>（一）</w:t>
      </w:r>
      <w:r>
        <w:rPr>
          <w:rFonts w:hint="eastAsia" w:ascii="楷体_GB2312" w:hAnsi="楷体_GB2312" w:eastAsia="楷体_GB2312" w:cs="楷体_GB2312"/>
          <w:color w:val="000000"/>
          <w:kern w:val="0"/>
          <w:sz w:val="32"/>
          <w:szCs w:val="32"/>
          <w:lang w:val="en-US" w:eastAsia="zh-CN"/>
        </w:rPr>
        <w:t>在医保待遇享受方面。</w:t>
      </w:r>
      <w:r>
        <w:rPr>
          <w:rFonts w:hint="eastAsia" w:ascii="仿宋_GB2312" w:hAnsi="仿宋_GB2312" w:eastAsia="仿宋_GB2312" w:cs="仿宋_GB2312"/>
          <w:b/>
          <w:bCs/>
          <w:color w:val="000000"/>
          <w:kern w:val="0"/>
          <w:sz w:val="32"/>
          <w:szCs w:val="32"/>
          <w:lang w:val="en-US" w:eastAsia="zh-CN"/>
        </w:rPr>
        <w:t>一是普通门诊待遇与基层医疗机构选定相挂钩。</w:t>
      </w:r>
      <w:r>
        <w:rPr>
          <w:rFonts w:hint="eastAsia" w:ascii="仿宋_GB2312" w:hAnsi="仿宋_GB2312" w:eastAsia="仿宋_GB2312" w:cs="仿宋_GB2312"/>
          <w:b w:val="0"/>
          <w:bCs/>
          <w:color w:val="000000" w:themeColor="text1"/>
          <w:spacing w:val="-3"/>
          <w:sz w:val="32"/>
          <w:szCs w:val="32"/>
          <w:highlight w:val="none"/>
          <w:lang w:val="en-US" w:eastAsia="zh-CN"/>
          <w14:textFill>
            <w14:solidFill>
              <w14:schemeClr w14:val="tx1"/>
            </w14:solidFill>
          </w14:textFill>
        </w:rPr>
        <w:t>职工医疗保险一档参保人可在市内定点医疗机构范围内选定1家社康</w:t>
      </w:r>
      <w:r>
        <w:rPr>
          <w:rFonts w:hint="default" w:ascii="仿宋_GB2312" w:hAnsi="仿宋_GB2312" w:eastAsia="仿宋_GB2312" w:cs="仿宋_GB2312"/>
          <w:b w:val="0"/>
          <w:bCs/>
          <w:color w:val="000000" w:themeColor="text1"/>
          <w:spacing w:val="-3"/>
          <w:sz w:val="32"/>
          <w:szCs w:val="32"/>
          <w:highlight w:val="none"/>
          <w:lang w:val="en-US" w:eastAsia="zh-CN"/>
          <w14:textFill>
            <w14:solidFill>
              <w14:schemeClr w14:val="tx1"/>
            </w14:solidFill>
          </w14:textFill>
        </w:rPr>
        <w:t>机构或者其他基层医疗机构、1家二级以上医院、专科医院作为普通门诊统筹就医定点医疗机构。</w:t>
      </w:r>
      <w:r>
        <w:rPr>
          <w:rFonts w:hint="eastAsia" w:ascii="仿宋_GB2312" w:hAnsi="仿宋_GB2312" w:eastAsia="仿宋_GB2312" w:cs="仿宋_GB2312"/>
          <w:b w:val="0"/>
          <w:bCs/>
          <w:color w:val="000000" w:themeColor="text1"/>
          <w:spacing w:val="-3"/>
          <w:sz w:val="32"/>
          <w:szCs w:val="32"/>
          <w:highlight w:val="none"/>
          <w:lang w:val="en-US" w:eastAsia="zh-CN"/>
          <w14:textFill>
            <w14:solidFill>
              <w14:schemeClr w14:val="tx1"/>
            </w14:solidFill>
          </w14:textFill>
        </w:rPr>
        <w:t>职工医保二档及居民医保参保人可以在市内定点医疗机构范围内选定1家社康机构或者其他基层医疗机构作为普通门诊统筹就医定点医疗机构。</w:t>
      </w:r>
      <w:r>
        <w:rPr>
          <w:rFonts w:hint="default" w:ascii="仿宋_GB2312" w:hAnsi="仿宋_GB2312" w:eastAsia="仿宋_GB2312" w:cs="仿宋_GB2312"/>
          <w:b w:val="0"/>
          <w:bCs/>
          <w:color w:val="000000" w:themeColor="text1"/>
          <w:spacing w:val="-3"/>
          <w:sz w:val="32"/>
          <w:szCs w:val="32"/>
          <w:highlight w:val="none"/>
          <w:lang w:val="en-US" w:eastAsia="zh-CN"/>
          <w14:textFill>
            <w14:solidFill>
              <w14:schemeClr w14:val="tx1"/>
            </w14:solidFill>
          </w14:textFill>
        </w:rPr>
        <w:t>参保人选定的社康机构所属结算医院及其下设的社康机构同为选定的普通门诊统筹就医定点医疗机构。</w:t>
      </w:r>
      <w:r>
        <w:rPr>
          <w:rFonts w:hint="eastAsia" w:ascii="仿宋_GB2312" w:hAnsi="仿宋_GB2312" w:eastAsia="仿宋_GB2312" w:cs="仿宋_GB2312"/>
          <w:b/>
          <w:bCs/>
          <w:color w:val="000000"/>
          <w:kern w:val="0"/>
          <w:sz w:val="32"/>
          <w:szCs w:val="32"/>
          <w:lang w:val="en-US" w:eastAsia="zh-CN"/>
        </w:rPr>
        <w:t>二是医保待遇</w:t>
      </w:r>
      <w:r>
        <w:rPr>
          <w:rFonts w:hint="eastAsia" w:ascii="仿宋_GB2312" w:hAnsi="宋体" w:eastAsia="仿宋_GB2312" w:cs="仿宋_GB2312"/>
          <w:b/>
          <w:bCs/>
          <w:color w:val="000000"/>
          <w:kern w:val="0"/>
          <w:sz w:val="32"/>
          <w:szCs w:val="32"/>
          <w:lang w:val="en-US" w:eastAsia="zh-CN"/>
        </w:rPr>
        <w:t>支付比例向基层医疗机构倾斜。普通门诊方面：</w:t>
      </w:r>
      <w:r>
        <w:rPr>
          <w:rFonts w:hint="eastAsia" w:ascii="仿宋_GB2312" w:hAnsi="宋体" w:eastAsia="仿宋_GB2312" w:cs="仿宋_GB2312"/>
          <w:color w:val="auto"/>
          <w:kern w:val="0"/>
          <w:sz w:val="32"/>
          <w:szCs w:val="32"/>
          <w:lang w:val="en-US" w:eastAsia="zh-CN"/>
        </w:rPr>
        <w:t>我市职工、居民参保人在选定的一级以下定点医疗机构就医发生的普通门诊基本医疗费用支付比例为75%，二级医院为65%，三级医院为55%。（年满60周岁及以上的人员支付比例相应提高5%），门诊诊查费分别为80%、70%、60%；</w:t>
      </w:r>
      <w:r>
        <w:rPr>
          <w:rFonts w:hint="eastAsia" w:ascii="仿宋_GB2312" w:hAnsi="宋体" w:eastAsia="仿宋_GB2312" w:cs="仿宋_GB2312"/>
          <w:b/>
          <w:bCs/>
          <w:color w:val="auto"/>
          <w:kern w:val="0"/>
          <w:sz w:val="32"/>
          <w:szCs w:val="32"/>
          <w:lang w:val="en-US" w:eastAsia="zh-CN"/>
        </w:rPr>
        <w:t>住院方面：</w:t>
      </w:r>
      <w:r>
        <w:rPr>
          <w:rFonts w:hint="eastAsia" w:ascii="仿宋_GB2312" w:hAnsi="宋体" w:eastAsia="仿宋_GB2312" w:cs="仿宋_GB2312"/>
          <w:color w:val="auto"/>
          <w:kern w:val="0"/>
          <w:sz w:val="32"/>
          <w:szCs w:val="32"/>
          <w:lang w:val="en-US" w:eastAsia="zh-CN"/>
        </w:rPr>
        <w:t>我市职工医保一档参保人，在定点一级以下医院住院发生的基本医疗费用起付线以上部分，支付比例为94%，二级医院为92%，三级医院为90%；职工医保二档、居民医保支付比例分别为92%、91%、90%（退休人员、年满60周岁及以上人员支付比例均为95%）。</w:t>
      </w:r>
      <w:r>
        <w:rPr>
          <w:rFonts w:hint="eastAsia" w:ascii="仿宋_GB2312" w:hAnsi="宋体" w:eastAsia="仿宋_GB2312" w:cs="仿宋_GB2312"/>
          <w:b/>
          <w:bCs/>
          <w:color w:val="000000"/>
          <w:kern w:val="0"/>
          <w:sz w:val="32"/>
          <w:szCs w:val="32"/>
          <w:lang w:val="en-US" w:eastAsia="zh-CN"/>
        </w:rPr>
        <w:t>三是门诊特定病种待遇享受与签订家庭医生服务协议相挂钩</w:t>
      </w:r>
      <w:r>
        <w:rPr>
          <w:rFonts w:hint="eastAsia" w:ascii="仿宋_GB2312" w:hAnsi="宋体" w:eastAsia="仿宋_GB2312" w:cs="仿宋_GB2312"/>
          <w:color w:val="000000"/>
          <w:kern w:val="0"/>
          <w:sz w:val="32"/>
          <w:szCs w:val="32"/>
          <w:lang w:val="en-US" w:eastAsia="zh-CN"/>
        </w:rPr>
        <w:t>。与脑卒中相关的</w:t>
      </w:r>
      <w:r>
        <w:rPr>
          <w:rFonts w:hint="eastAsia" w:ascii="仿宋_GB2312" w:hAnsi="仿宋_GB2312" w:eastAsia="仿宋_GB2312" w:cs="仿宋_GB2312"/>
          <w:color w:val="auto"/>
          <w:kern w:val="0"/>
          <w:sz w:val="32"/>
          <w:szCs w:val="32"/>
          <w:lang w:val="en-US" w:eastAsia="zh-CN"/>
        </w:rPr>
        <w:t>脑血管疾病后遗症</w:t>
      </w:r>
      <w:r>
        <w:rPr>
          <w:rFonts w:hint="eastAsia" w:ascii="仿宋_GB2312" w:hAnsi="宋体" w:eastAsia="仿宋_GB2312" w:cs="仿宋_GB2312"/>
          <w:color w:val="000000"/>
          <w:kern w:val="0"/>
          <w:sz w:val="32"/>
          <w:szCs w:val="32"/>
          <w:lang w:val="en-US" w:eastAsia="zh-CN"/>
        </w:rPr>
        <w:t>门特病种在市内定点社康机构接受慢性病健康管理服务，由签约家庭医生开具处方的，统筹基金支付为80%。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color w:val="000000" w:themeColor="text1"/>
          <w:spacing w:val="-3"/>
          <w:sz w:val="32"/>
          <w:szCs w:val="32"/>
          <w:highlight w:val="none"/>
          <w:lang w:val="en-US" w:eastAsia="zh-CN"/>
          <w14:textFill>
            <w14:solidFill>
              <w14:schemeClr w14:val="tx1"/>
            </w14:solidFill>
          </w14:textFill>
        </w:rPr>
      </w:pPr>
      <w:r>
        <w:rPr>
          <w:rFonts w:hint="eastAsia" w:ascii="楷体_GB2312" w:hAnsi="楷体_GB2312" w:eastAsia="楷体_GB2312" w:cs="楷体_GB2312"/>
          <w:b w:val="0"/>
          <w:bCs w:val="0"/>
          <w:color w:val="000000"/>
          <w:kern w:val="0"/>
          <w:sz w:val="32"/>
          <w:szCs w:val="32"/>
          <w:lang w:val="en-US" w:eastAsia="zh-CN"/>
        </w:rPr>
        <w:t>（二）在医保支付政策方面。</w:t>
      </w:r>
      <w:r>
        <w:rPr>
          <w:rFonts w:hint="eastAsia" w:ascii="仿宋_GB2312" w:hAnsi="仿宋_GB2312" w:eastAsia="仿宋_GB2312" w:cs="仿宋_GB2312"/>
          <w:b w:val="0"/>
          <w:bCs/>
          <w:color w:val="000000" w:themeColor="text1"/>
          <w:spacing w:val="-3"/>
          <w:sz w:val="32"/>
          <w:szCs w:val="32"/>
          <w:highlight w:val="none"/>
          <w:lang w:val="en-US" w:eastAsia="zh-CN"/>
          <w14:textFill>
            <w14:solidFill>
              <w14:schemeClr w14:val="tx1"/>
            </w14:solidFill>
          </w14:textFill>
        </w:rPr>
        <w:t>2021年12月31日，深圳市医疗保障局联合深圳市卫生健康委员会印发《</w:t>
      </w:r>
      <w:bookmarkStart w:id="1" w:name="OLE_LINK2"/>
      <w:r>
        <w:rPr>
          <w:rFonts w:hint="eastAsia" w:ascii="仿宋_GB2312" w:hAnsi="仿宋_GB2312" w:eastAsia="仿宋_GB2312" w:cs="仿宋_GB2312"/>
          <w:b w:val="0"/>
          <w:bCs/>
          <w:color w:val="000000" w:themeColor="text1"/>
          <w:spacing w:val="-3"/>
          <w:sz w:val="32"/>
          <w:szCs w:val="32"/>
          <w:highlight w:val="none"/>
          <w:lang w:val="en-US" w:eastAsia="zh-CN"/>
          <w14:textFill>
            <w14:solidFill>
              <w14:schemeClr w14:val="tx1"/>
            </w14:solidFill>
          </w14:textFill>
        </w:rPr>
        <w:t>关于进一步规范康复医疗服务有关工作的通知</w:t>
      </w:r>
      <w:bookmarkEnd w:id="1"/>
      <w:r>
        <w:rPr>
          <w:rFonts w:hint="eastAsia" w:ascii="仿宋_GB2312" w:hAnsi="仿宋_GB2312" w:eastAsia="仿宋_GB2312" w:cs="仿宋_GB2312"/>
          <w:b w:val="0"/>
          <w:bCs/>
          <w:color w:val="000000" w:themeColor="text1"/>
          <w:spacing w:val="-3"/>
          <w:sz w:val="32"/>
          <w:szCs w:val="32"/>
          <w:highlight w:val="none"/>
          <w:lang w:val="en-US" w:eastAsia="zh-CN"/>
          <w14:textFill>
            <w14:solidFill>
              <w14:schemeClr w14:val="tx1"/>
            </w14:solidFill>
          </w14:textFill>
        </w:rPr>
        <w:t>》及配套政策，将</w:t>
      </w:r>
      <w:bookmarkStart w:id="2" w:name="OLE_LINK3"/>
      <w:r>
        <w:rPr>
          <w:rFonts w:hint="eastAsia" w:ascii="仿宋_GB2312" w:hAnsi="仿宋_GB2312" w:eastAsia="仿宋_GB2312" w:cs="仿宋_GB2312"/>
          <w:b w:val="0"/>
          <w:bCs/>
          <w:color w:val="000000" w:themeColor="text1"/>
          <w:spacing w:val="-3"/>
          <w:sz w:val="32"/>
          <w:szCs w:val="32"/>
          <w:highlight w:val="none"/>
          <w:lang w:val="en-US" w:eastAsia="zh-CN"/>
          <w14:textFill>
            <w14:solidFill>
              <w14:schemeClr w14:val="tx1"/>
            </w14:solidFill>
          </w14:textFill>
        </w:rPr>
        <w:t>脑卒中</w:t>
      </w:r>
      <w:bookmarkEnd w:id="2"/>
      <w:r>
        <w:rPr>
          <w:rFonts w:hint="eastAsia" w:ascii="仿宋_GB2312" w:hAnsi="仿宋_GB2312" w:eastAsia="仿宋_GB2312" w:cs="仿宋_GB2312"/>
          <w:b w:val="0"/>
          <w:bCs/>
          <w:color w:val="000000" w:themeColor="text1"/>
          <w:spacing w:val="-3"/>
          <w:sz w:val="32"/>
          <w:szCs w:val="32"/>
          <w:highlight w:val="none"/>
          <w:lang w:val="en-US" w:eastAsia="zh-CN"/>
          <w14:textFill>
            <w14:solidFill>
              <w14:schemeClr w14:val="tx1"/>
            </w14:solidFill>
          </w14:textFill>
        </w:rPr>
        <w:t>等12种常见病种纳入康复医疗服务范围，明确提供康复医疗服务的各级各类医疗机构功能定位，如社康等基层机构主要为恢复期患者提供康复医疗服务，将功能定位与康复分期关联，将偿付标准与康复分期挂钩，有效提升医疗资源使用率，推动基层医疗康复能力建设。另外，社康服务机构可为包括脑卒中在内的16类符合条件的参保人建立家庭病床，提供居家康复医疗服务的，康复医疗费用纳入家庭病床医疗费用中按床日付费，提升参保人获取优质康复服务可及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微软雅黑" w:hAnsi="微软雅黑" w:eastAsia="微软雅黑" w:cs="微软雅黑"/>
          <w:i w:val="0"/>
          <w:iCs w:val="0"/>
          <w:caps w:val="0"/>
          <w:color w:val="333333"/>
          <w:spacing w:val="0"/>
          <w:sz w:val="32"/>
          <w:szCs w:val="32"/>
          <w:shd w:val="clear" w:fill="FFFFFF"/>
        </w:rPr>
      </w:pPr>
      <w:r>
        <w:rPr>
          <w:rFonts w:hint="eastAsia" w:ascii="仿宋_GB2312" w:hAnsi="仿宋_GB2312" w:eastAsia="仿宋_GB2312" w:cs="仿宋_GB2312"/>
          <w:sz w:val="32"/>
          <w:szCs w:val="32"/>
          <w:lang w:val="en-US" w:eastAsia="zh-CN"/>
        </w:rPr>
        <w:t>专此函复。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深圳市医疗保障局福田分局</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left"/>
        <w:textAlignment w:val="auto"/>
      </w:pPr>
      <w:r>
        <w:rPr>
          <w:rFonts w:hint="eastAsia" w:ascii="仿宋_GB2312" w:hAnsi="仿宋_GB2312" w:eastAsia="仿宋_GB2312" w:cs="仿宋_GB2312"/>
          <w:sz w:val="32"/>
          <w:szCs w:val="32"/>
          <w:lang w:val="en-US" w:eastAsia="zh-CN"/>
        </w:rPr>
        <w:t>2025年6月9日</w:t>
      </w:r>
      <w:bookmarkStart w:id="3" w:name="_GoBack"/>
      <w:bookmarkEnd w:id="3"/>
    </w:p>
    <w:sectPr>
      <w:footerReference r:id="rId3" w:type="default"/>
      <w:pgSz w:w="11906" w:h="16838"/>
      <w:pgMar w:top="2098" w:right="1474" w:bottom="1984" w:left="1587"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西文正文">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方正黑体_GBK">
    <w:panose1 w:val="02000000000000000000"/>
    <w:charset w:val="86"/>
    <w:family w:val="auto"/>
    <w:pitch w:val="default"/>
    <w:sig w:usb0="00000001" w:usb1="08000000" w:usb2="00000000" w:usb3="00000000" w:csb0="00040000" w:csb1="00000000"/>
  </w:font>
  <w:font w:name="国标小标宋">
    <w:panose1 w:val="020005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MathJax_Vector">
    <w:panose1 w:val="02000603000000000000"/>
    <w:charset w:val="00"/>
    <w:family w:val="auto"/>
    <w:pitch w:val="default"/>
    <w:sig w:usb0="00000001" w:usb1="00000020" w:usb2="00000000" w:usb3="00000000" w:csb0="00000001" w:csb1="00000000"/>
  </w:font>
  <w:font w:name="仿宋_GB2312">
    <w:altName w:val="方正仿宋_GBK"/>
    <w:panose1 w:val="02010609030101010101"/>
    <w:charset w:val="86"/>
    <w:family w:val="modern"/>
    <w:pitch w:val="default"/>
    <w:sig w:usb0="00000000" w:usb1="00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3E2528"/>
    <w:rsid w:val="065751F3"/>
    <w:rsid w:val="0A70662D"/>
    <w:rsid w:val="139B0D39"/>
    <w:rsid w:val="14B20501"/>
    <w:rsid w:val="15716A66"/>
    <w:rsid w:val="17301B9A"/>
    <w:rsid w:val="1B9B7A67"/>
    <w:rsid w:val="1DF7C048"/>
    <w:rsid w:val="236FB381"/>
    <w:rsid w:val="2BC404DA"/>
    <w:rsid w:val="2F2965ED"/>
    <w:rsid w:val="3FDB5975"/>
    <w:rsid w:val="41C02E14"/>
    <w:rsid w:val="433B1168"/>
    <w:rsid w:val="43592C8A"/>
    <w:rsid w:val="514C786D"/>
    <w:rsid w:val="5235306E"/>
    <w:rsid w:val="598361E9"/>
    <w:rsid w:val="5C486ADF"/>
    <w:rsid w:val="5DE6099B"/>
    <w:rsid w:val="63C11A36"/>
    <w:rsid w:val="64EB43D5"/>
    <w:rsid w:val="67DB0571"/>
    <w:rsid w:val="6A06437E"/>
    <w:rsid w:val="6C662657"/>
    <w:rsid w:val="6D4EA015"/>
    <w:rsid w:val="7EF767A3"/>
    <w:rsid w:val="BE3A05C7"/>
    <w:rsid w:val="E9DFBEF2"/>
    <w:rsid w:val="FF7833D9"/>
    <w:rsid w:val="FFDB15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autoSpaceDE w:val="0"/>
      <w:autoSpaceDN w:val="0"/>
    </w:pPr>
    <w:rPr>
      <w:rFonts w:ascii="仿宋_GB2312" w:hAnsi="仿宋_GB2312" w:eastAsia="宋体" w:cs="仿宋_GB2312"/>
      <w:sz w:val="22"/>
      <w:szCs w:val="32"/>
      <w:lang w:eastAsia="en-US"/>
    </w:rPr>
  </w:style>
  <w:style w:type="paragraph" w:styleId="4">
    <w:name w:val="Body Text Indent 2"/>
    <w:basedOn w:val="1"/>
    <w:qFormat/>
    <w:uiPriority w:val="0"/>
    <w:pPr>
      <w:spacing w:after="120" w:line="480" w:lineRule="auto"/>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itle"/>
    <w:basedOn w:val="1"/>
    <w:next w:val="1"/>
    <w:qFormat/>
    <w:uiPriority w:val="0"/>
    <w:pPr>
      <w:widowControl/>
      <w:spacing w:before="240" w:after="60"/>
      <w:jc w:val="center"/>
      <w:outlineLvl w:val="0"/>
    </w:pPr>
    <w:rPr>
      <w:rFonts w:ascii="Cambria" w:hAnsi="Cambria" w:cs="Times New Roman"/>
      <w:b/>
      <w:bCs/>
      <w:sz w:val="32"/>
      <w:szCs w:val="32"/>
    </w:rPr>
  </w:style>
  <w:style w:type="paragraph" w:customStyle="1" w:styleId="10">
    <w:name w:val="列出段落1"/>
    <w:basedOn w:val="1"/>
    <w:next w:val="11"/>
    <w:qFormat/>
    <w:uiPriority w:val="99"/>
    <w:pPr>
      <w:ind w:firstLine="420" w:firstLineChars="200"/>
    </w:p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71</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2025-06-06T16:26:00Z</dcterms:created>
  <dc:creator>Lenovo</dc:creator>
  <cp:lastModifiedBy>鄭駿鵬</cp:lastModifiedBy>
  <dcterms:modified xsi:type="dcterms:W3CDTF">2026-01-07T09:45:45Z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D58866A97A96404D9819168E8A27831A</vt:lpwstr>
  </property>
</Properties>
</file>