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5F2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深圳市福田区华富街道2020年</w:t>
      </w:r>
    </w:p>
    <w:p w14:paraId="0E8F7BD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44"/>
          <w:szCs w:val="44"/>
          <w:highlight w:val="none"/>
        </w:rPr>
        <w:t>法治政府建设工作报告</w:t>
      </w:r>
    </w:p>
    <w:p w14:paraId="25E3A464">
      <w:pPr>
        <w:keepNext w:val="0"/>
        <w:keepLines w:val="0"/>
        <w:pageBreakBefore w:val="0"/>
        <w:widowControl/>
        <w:shd w:val="clear" w:color="auto" w:fill="FFFFFF"/>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color w:val="000000"/>
          <w:kern w:val="0"/>
          <w:sz w:val="32"/>
          <w:szCs w:val="32"/>
          <w:highlight w:val="none"/>
        </w:rPr>
      </w:pPr>
      <w:r>
        <w:rPr>
          <w:rFonts w:hint="eastAsia" w:ascii="仿宋" w:hAnsi="仿宋" w:eastAsia="仿宋" w:cs="仿宋"/>
          <w:b w:val="0"/>
          <w:bCs w:val="0"/>
          <w:color w:val="000000"/>
          <w:kern w:val="0"/>
          <w:sz w:val="32"/>
          <w:szCs w:val="32"/>
          <w:highlight w:val="none"/>
        </w:rPr>
        <w:t>     </w:t>
      </w:r>
    </w:p>
    <w:p w14:paraId="702EF0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今年以来，华富街道坚持</w:t>
      </w:r>
      <w:r>
        <w:rPr>
          <w:rFonts w:hint="eastAsia" w:ascii="仿宋_GB2312" w:hAnsi="仿宋_GB2312" w:eastAsia="仿宋_GB2312" w:cs="仿宋_GB2312"/>
          <w:b w:val="0"/>
          <w:bCs w:val="0"/>
          <w:color w:val="auto"/>
          <w:sz w:val="32"/>
          <w:szCs w:val="32"/>
          <w:highlight w:val="none"/>
          <w:lang w:bidi="ar"/>
        </w:rPr>
        <w:t>以习近平新时代中国特色社会主义思想为指导，全面贯彻党的十九大和</w:t>
      </w:r>
      <w:r>
        <w:rPr>
          <w:rFonts w:hint="eastAsia" w:ascii="仿宋_GB2312" w:eastAsia="仿宋_GB2312"/>
          <w:color w:val="auto"/>
          <w:sz w:val="32"/>
          <w:szCs w:val="32"/>
          <w:highlight w:val="none"/>
          <w:lang w:eastAsia="zh-CN"/>
        </w:rPr>
        <w:t>十九届历次全会</w:t>
      </w:r>
      <w:r>
        <w:rPr>
          <w:rFonts w:hint="eastAsia" w:ascii="仿宋_GB2312" w:hAnsi="仿宋_GB2312" w:eastAsia="仿宋_GB2312" w:cs="仿宋_GB2312"/>
          <w:b w:val="0"/>
          <w:bCs w:val="0"/>
          <w:color w:val="auto"/>
          <w:sz w:val="32"/>
          <w:szCs w:val="32"/>
          <w:highlight w:val="none"/>
          <w:lang w:eastAsia="zh-CN" w:bidi="ar"/>
        </w:rPr>
        <w:t>精神、</w:t>
      </w:r>
      <w:r>
        <w:rPr>
          <w:rFonts w:hint="eastAsia" w:ascii="仿宋_GB2312" w:hAnsi="仿宋_GB2312" w:eastAsia="仿宋_GB2312" w:cs="仿宋_GB2312"/>
          <w:b w:val="0"/>
          <w:bCs w:val="0"/>
          <w:color w:val="auto"/>
          <w:sz w:val="32"/>
          <w:szCs w:val="32"/>
          <w:highlight w:val="none"/>
          <w:lang w:bidi="ar"/>
        </w:rPr>
        <w:t>习近平总书记对广东</w:t>
      </w:r>
      <w:r>
        <w:rPr>
          <w:rFonts w:hint="eastAsia" w:ascii="仿宋_GB2312" w:hAnsi="仿宋_GB2312" w:eastAsia="仿宋_GB2312" w:cs="仿宋_GB2312"/>
          <w:b w:val="0"/>
          <w:bCs w:val="0"/>
          <w:color w:val="auto"/>
          <w:sz w:val="32"/>
          <w:szCs w:val="32"/>
          <w:highlight w:val="none"/>
          <w:lang w:eastAsia="zh-CN" w:bidi="ar"/>
        </w:rPr>
        <w:t>、</w:t>
      </w:r>
      <w:r>
        <w:rPr>
          <w:rFonts w:hint="eastAsia" w:ascii="仿宋_GB2312" w:hAnsi="仿宋_GB2312" w:eastAsia="仿宋_GB2312" w:cs="仿宋_GB2312"/>
          <w:b w:val="0"/>
          <w:bCs w:val="0"/>
          <w:color w:val="auto"/>
          <w:sz w:val="32"/>
          <w:szCs w:val="32"/>
          <w:highlight w:val="none"/>
          <w:lang w:bidi="ar"/>
        </w:rPr>
        <w:t>深圳工作的重要讲话和指示批示精神</w:t>
      </w:r>
      <w:r>
        <w:rPr>
          <w:rFonts w:hint="eastAsia" w:ascii="仿宋_GB2312" w:hAnsi="仿宋_GB2312" w:eastAsia="仿宋_GB2312" w:cs="仿宋_GB2312"/>
          <w:b w:val="0"/>
          <w:bCs w:val="0"/>
          <w:color w:val="auto"/>
          <w:sz w:val="32"/>
          <w:szCs w:val="32"/>
          <w:highlight w:val="none"/>
          <w:lang w:eastAsia="zh-CN" w:bidi="ar"/>
        </w:rPr>
        <w:t>，</w:t>
      </w:r>
      <w:r>
        <w:rPr>
          <w:rFonts w:hint="eastAsia" w:ascii="仿宋_GB2312" w:hAnsi="仿宋_GB2312" w:eastAsia="仿宋_GB2312" w:cs="仿宋_GB2312"/>
          <w:b w:val="0"/>
          <w:bCs w:val="0"/>
          <w:color w:val="auto"/>
          <w:sz w:val="32"/>
          <w:szCs w:val="32"/>
          <w:highlight w:val="none"/>
          <w:lang w:bidi="ar"/>
        </w:rPr>
        <w:t>全面落实《法治政府建设实施纲要（2015—2020年）》和</w:t>
      </w:r>
      <w:r>
        <w:rPr>
          <w:rFonts w:hint="eastAsia" w:ascii="仿宋_GB2312" w:hAnsi="仿宋_GB2312" w:eastAsia="仿宋_GB2312" w:cs="仿宋_GB2312"/>
          <w:b w:val="0"/>
          <w:bCs w:val="0"/>
          <w:color w:val="auto"/>
          <w:sz w:val="32"/>
          <w:szCs w:val="32"/>
          <w:highlight w:val="none"/>
          <w:lang w:eastAsia="zh-CN" w:bidi="ar"/>
        </w:rPr>
        <w:t>上级有关</w:t>
      </w:r>
      <w:r>
        <w:rPr>
          <w:rFonts w:hint="eastAsia" w:ascii="仿宋_GB2312" w:hAnsi="仿宋_GB2312" w:eastAsia="仿宋_GB2312" w:cs="仿宋_GB2312"/>
          <w:b w:val="0"/>
          <w:bCs w:val="0"/>
          <w:color w:val="auto"/>
          <w:sz w:val="32"/>
          <w:szCs w:val="32"/>
          <w:highlight w:val="none"/>
          <w:lang w:bidi="ar"/>
        </w:rPr>
        <w:t>工作部署，</w:t>
      </w:r>
      <w:r>
        <w:rPr>
          <w:rFonts w:hint="eastAsia" w:ascii="仿宋_GB2312" w:hAnsi="仿宋_GB2312" w:eastAsia="仿宋_GB2312" w:cs="仿宋_GB2312"/>
          <w:b w:val="0"/>
          <w:bCs w:val="0"/>
          <w:color w:val="auto"/>
          <w:kern w:val="0"/>
          <w:sz w:val="32"/>
          <w:szCs w:val="32"/>
          <w:highlight w:val="none"/>
          <w:lang w:val="en-US" w:eastAsia="zh-CN" w:bidi="ar-SA"/>
        </w:rPr>
        <w:t>持续推进法治政府建设，在加强组织领导、完善制度建设、强化决策程序、依法防控疫情、规范行政执法、加强行政监督、推动纠纷化解、聚焦基层治理方面综合发力，较好地完</w:t>
      </w:r>
      <w:r>
        <w:rPr>
          <w:rFonts w:hint="eastAsia" w:ascii="仿宋_GB2312" w:hAnsi="仿宋_GB2312" w:eastAsia="仿宋_GB2312" w:cs="仿宋_GB2312"/>
          <w:color w:val="auto"/>
          <w:kern w:val="0"/>
          <w:sz w:val="32"/>
          <w:szCs w:val="32"/>
          <w:highlight w:val="none"/>
          <w:lang w:val="en-US" w:eastAsia="zh-CN" w:bidi="ar-SA"/>
        </w:rPr>
        <w:t>成了各项目标任务。</w:t>
      </w:r>
      <w:r>
        <w:rPr>
          <w:rFonts w:hint="eastAsia" w:ascii="仿宋_GB2312" w:hAnsi="仿宋_GB2312" w:eastAsia="仿宋_GB2312" w:cs="仿宋_GB2312"/>
          <w:color w:val="auto"/>
          <w:kern w:val="0"/>
          <w:sz w:val="32"/>
          <w:szCs w:val="32"/>
          <w:highlight w:val="none"/>
        </w:rPr>
        <w:t>现将</w:t>
      </w:r>
      <w:r>
        <w:rPr>
          <w:rFonts w:hint="eastAsia" w:ascii="仿宋_GB2312" w:hAnsi="仿宋_GB2312" w:eastAsia="仿宋_GB2312" w:cs="仿宋_GB2312"/>
          <w:color w:val="auto"/>
          <w:kern w:val="0"/>
          <w:sz w:val="32"/>
          <w:szCs w:val="32"/>
          <w:highlight w:val="none"/>
          <w:lang w:eastAsia="zh-CN"/>
        </w:rPr>
        <w:t>2020</w:t>
      </w:r>
      <w:r>
        <w:rPr>
          <w:rFonts w:hint="eastAsia" w:ascii="仿宋_GB2312" w:hAnsi="仿宋_GB2312" w:eastAsia="仿宋_GB2312" w:cs="仿宋_GB2312"/>
          <w:color w:val="auto"/>
          <w:kern w:val="0"/>
          <w:sz w:val="32"/>
          <w:szCs w:val="32"/>
          <w:highlight w:val="none"/>
        </w:rPr>
        <w:t>年法治政府建设工作总结如下：</w:t>
      </w:r>
    </w:p>
    <w:p w14:paraId="27B70A53">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5"/>
        <w:jc w:val="left"/>
        <w:textAlignment w:val="auto"/>
        <w:outlineLvl w:val="9"/>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2020</w:t>
      </w:r>
      <w:r>
        <w:rPr>
          <w:rFonts w:hint="eastAsia" w:ascii="黑体" w:hAnsi="黑体" w:eastAsia="黑体" w:cs="黑体"/>
          <w:color w:val="auto"/>
          <w:kern w:val="0"/>
          <w:sz w:val="32"/>
          <w:szCs w:val="32"/>
          <w:highlight w:val="none"/>
        </w:rPr>
        <w:t>年法治政府建设</w:t>
      </w:r>
      <w:r>
        <w:rPr>
          <w:rFonts w:hint="eastAsia" w:ascii="黑体" w:hAnsi="黑体" w:eastAsia="黑体" w:cs="黑体"/>
          <w:color w:val="auto"/>
          <w:kern w:val="0"/>
          <w:sz w:val="32"/>
          <w:szCs w:val="32"/>
          <w:highlight w:val="none"/>
          <w:lang w:eastAsia="zh-CN"/>
        </w:rPr>
        <w:t>工作亮点</w:t>
      </w:r>
    </w:p>
    <w:p w14:paraId="735007BE">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楷体" w:hAnsi="楷体" w:eastAsia="楷体" w:cs="楷体"/>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普法培训成效显著，法治思维深入人心</w:t>
      </w:r>
    </w:p>
    <w:p w14:paraId="4CF95095">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eastAsia="zh-CN"/>
        </w:rPr>
        <w:t>一是法治教育卓有成效。</w:t>
      </w:r>
      <w:r>
        <w:rPr>
          <w:rFonts w:hint="eastAsia" w:ascii="仿宋_GB2312" w:hAnsi="仿宋_GB2312" w:eastAsia="仿宋_GB2312" w:cs="仿宋_GB2312"/>
          <w:color w:val="auto"/>
          <w:sz w:val="32"/>
          <w:szCs w:val="32"/>
          <w:highlight w:val="none"/>
        </w:rPr>
        <w:t>今年以来</w:t>
      </w:r>
      <w:r>
        <w:rPr>
          <w:rFonts w:hint="eastAsia" w:ascii="仿宋_GB2312" w:hAnsi="仿宋_GB2312" w:eastAsia="仿宋_GB2312" w:cs="仿宋_GB2312"/>
          <w:color w:val="auto"/>
          <w:sz w:val="32"/>
          <w:szCs w:val="32"/>
          <w:highlight w:val="none"/>
          <w:lang w:eastAsia="zh-CN"/>
        </w:rPr>
        <w:t>，依托</w:t>
      </w:r>
      <w:r>
        <w:rPr>
          <w:rFonts w:hint="eastAsia" w:ascii="仿宋_GB2312" w:hAnsi="仿宋_GB2312" w:eastAsia="仿宋_GB2312" w:cs="仿宋_GB2312"/>
          <w:color w:val="auto"/>
          <w:sz w:val="32"/>
          <w:szCs w:val="32"/>
          <w:highlight w:val="none"/>
        </w:rPr>
        <w:t>“学法考试系统”</w:t>
      </w:r>
      <w:r>
        <w:rPr>
          <w:rFonts w:hint="eastAsia" w:ascii="仿宋_GB2312" w:hAnsi="仿宋" w:eastAsia="仿宋_GB2312"/>
          <w:sz w:val="32"/>
          <w:szCs w:val="32"/>
          <w:highlight w:val="none"/>
        </w:rPr>
        <w:t>组织街道</w:t>
      </w:r>
      <w:r>
        <w:rPr>
          <w:rFonts w:hint="eastAsia" w:ascii="仿宋_GB2312" w:hAnsi="仿宋" w:eastAsia="仿宋_GB2312"/>
          <w:sz w:val="32"/>
          <w:szCs w:val="32"/>
          <w:highlight w:val="none"/>
          <w:lang w:val="en-US" w:eastAsia="zh-CN"/>
        </w:rPr>
        <w:t>19名干部在线学习宪法、监察法、行政法等法律内容，</w:t>
      </w:r>
      <w:r>
        <w:rPr>
          <w:rFonts w:hint="eastAsia" w:ascii="仿宋_GB2312" w:hAnsi="仿宋" w:eastAsia="仿宋_GB2312"/>
          <w:sz w:val="32"/>
          <w:szCs w:val="32"/>
          <w:highlight w:val="none"/>
        </w:rPr>
        <w:t>全员通过考试测评</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邀请专家学者组织干部职工开展3场法律知识培训；结合“一社区一法律顾问”的平台优势，深入社区开展人民调解员培训、法治讲座等学法活动32场次</w:t>
      </w:r>
      <w:r>
        <w:rPr>
          <w:rFonts w:hint="eastAsia" w:ascii="仿宋_GB2312" w:hAnsi="仿宋" w:eastAsia="仿宋_GB2312"/>
          <w:sz w:val="32"/>
          <w:szCs w:val="32"/>
          <w:highlight w:val="none"/>
          <w:lang w:eastAsia="zh-CN"/>
        </w:rPr>
        <w:t>，</w:t>
      </w:r>
      <w:r>
        <w:rPr>
          <w:rFonts w:hint="eastAsia" w:ascii="仿宋_GB2312" w:hAnsi="仿宋_GB2312" w:eastAsia="仿宋_GB2312" w:cs="仿宋_GB2312"/>
          <w:color w:val="auto"/>
          <w:sz w:val="32"/>
          <w:szCs w:val="32"/>
          <w:highlight w:val="none"/>
        </w:rPr>
        <w:t>领导干部、执法人员</w:t>
      </w:r>
      <w:r>
        <w:rPr>
          <w:rFonts w:hint="eastAsia" w:ascii="仿宋_GB2312" w:hAnsi="仿宋_GB2312" w:eastAsia="仿宋_GB2312" w:cs="仿宋_GB2312"/>
          <w:color w:val="auto"/>
          <w:sz w:val="32"/>
          <w:szCs w:val="32"/>
          <w:highlight w:val="none"/>
          <w:lang w:eastAsia="zh-CN"/>
        </w:rPr>
        <w:t>依法行政能力不断提高。</w:t>
      </w:r>
      <w:r>
        <w:rPr>
          <w:rFonts w:hint="eastAsia" w:ascii="仿宋_GB2312" w:hAnsi="仿宋_GB2312" w:eastAsia="仿宋_GB2312" w:cs="仿宋_GB2312"/>
          <w:b/>
          <w:bCs/>
          <w:color w:val="auto"/>
          <w:kern w:val="0"/>
          <w:sz w:val="32"/>
          <w:szCs w:val="32"/>
          <w:highlight w:val="none"/>
          <w:lang w:eastAsia="zh-CN"/>
        </w:rPr>
        <w:t>二是普法工作不断深入。</w:t>
      </w:r>
      <w:r>
        <w:rPr>
          <w:rFonts w:hint="eastAsia" w:ascii="仿宋_GB2312" w:hAnsi="仿宋_GB2312" w:eastAsia="仿宋_GB2312" w:cs="仿宋_GB2312"/>
          <w:color w:val="auto"/>
          <w:sz w:val="32"/>
          <w:szCs w:val="32"/>
          <w:highlight w:val="none"/>
        </w:rPr>
        <w:t>深入推进“七五”普法工作，把握重点人群，注重提升宣传质效。</w:t>
      </w:r>
      <w:r>
        <w:rPr>
          <w:rFonts w:hint="eastAsia" w:ascii="仿宋_GB2312" w:hAnsi="仿宋" w:eastAsia="仿宋_GB2312"/>
          <w:sz w:val="32"/>
          <w:szCs w:val="32"/>
          <w:highlight w:val="none"/>
          <w:lang w:eastAsia="zh-CN"/>
        </w:rPr>
        <w:t>结合</w:t>
      </w:r>
      <w:r>
        <w:rPr>
          <w:rFonts w:hint="eastAsia" w:ascii="仿宋_GB2312" w:hAnsi="仿宋" w:eastAsia="仿宋_GB2312"/>
          <w:sz w:val="32"/>
          <w:szCs w:val="32"/>
          <w:highlight w:val="none"/>
          <w:lang w:val="en-US" w:eastAsia="zh-CN"/>
        </w:rPr>
        <w:t>4.15国家安全日、6.26禁毒日、</w:t>
      </w:r>
      <w:r>
        <w:rPr>
          <w:rFonts w:hint="eastAsia" w:ascii="仿宋_GB2312" w:hAnsi="宋体" w:eastAsia="仿宋_GB2312"/>
          <w:kern w:val="0"/>
          <w:sz w:val="32"/>
          <w:szCs w:val="32"/>
          <w:highlight w:val="none"/>
        </w:rPr>
        <w:t>12.4宪法宣传日</w:t>
      </w:r>
      <w:r>
        <w:rPr>
          <w:rFonts w:hint="eastAsia" w:ascii="仿宋_GB2312" w:hAnsi="宋体" w:eastAsia="仿宋_GB2312"/>
          <w:kern w:val="0"/>
          <w:sz w:val="32"/>
          <w:szCs w:val="32"/>
          <w:highlight w:val="none"/>
          <w:lang w:eastAsia="zh-CN"/>
        </w:rPr>
        <w:t>等节点，开展国家安全、</w:t>
      </w:r>
      <w:r>
        <w:rPr>
          <w:rFonts w:hint="eastAsia" w:ascii="仿宋_GB2312" w:hAnsi="宋体" w:eastAsia="仿宋_GB2312"/>
          <w:kern w:val="0"/>
          <w:sz w:val="32"/>
          <w:szCs w:val="32"/>
          <w:highlight w:val="none"/>
        </w:rPr>
        <w:t>人民调解</w:t>
      </w:r>
      <w:r>
        <w:rPr>
          <w:rFonts w:hint="eastAsia" w:ascii="仿宋_GB2312" w:hAnsi="宋体" w:eastAsia="仿宋_GB2312"/>
          <w:kern w:val="0"/>
          <w:sz w:val="32"/>
          <w:szCs w:val="32"/>
          <w:highlight w:val="none"/>
          <w:lang w:eastAsia="zh-CN"/>
        </w:rPr>
        <w:t>、</w:t>
      </w:r>
      <w:r>
        <w:rPr>
          <w:rFonts w:hint="eastAsia" w:ascii="仿宋_GB2312" w:hAnsi="宋体" w:eastAsia="仿宋_GB2312"/>
          <w:kern w:val="0"/>
          <w:sz w:val="32"/>
          <w:szCs w:val="32"/>
          <w:highlight w:val="none"/>
        </w:rPr>
        <w:t>禁毒</w:t>
      </w:r>
      <w:r>
        <w:rPr>
          <w:rFonts w:hint="eastAsia" w:ascii="仿宋_GB2312" w:hAnsi="宋体" w:eastAsia="仿宋_GB2312"/>
          <w:kern w:val="0"/>
          <w:sz w:val="32"/>
          <w:szCs w:val="32"/>
          <w:highlight w:val="none"/>
          <w:lang w:eastAsia="zh-CN"/>
        </w:rPr>
        <w:t>、扫黑除恶、打击非法集资、民法典宣传等主题</w:t>
      </w:r>
      <w:r>
        <w:rPr>
          <w:rFonts w:hint="eastAsia" w:ascii="仿宋_GB2312" w:hAnsi="宋体" w:eastAsia="仿宋_GB2312"/>
          <w:kern w:val="0"/>
          <w:sz w:val="32"/>
          <w:szCs w:val="32"/>
          <w:highlight w:val="none"/>
        </w:rPr>
        <w:t>主题</w:t>
      </w:r>
      <w:r>
        <w:rPr>
          <w:rFonts w:hint="eastAsia" w:ascii="仿宋_GB2312" w:hAnsi="宋体" w:eastAsia="仿宋_GB2312"/>
          <w:kern w:val="0"/>
          <w:sz w:val="32"/>
          <w:szCs w:val="32"/>
          <w:highlight w:val="none"/>
          <w:lang w:eastAsia="zh-CN"/>
        </w:rPr>
        <w:t>活动，</w:t>
      </w:r>
      <w:r>
        <w:rPr>
          <w:rFonts w:hint="eastAsia" w:ascii="仿宋_GB2312" w:eastAsia="仿宋_GB2312"/>
          <w:sz w:val="32"/>
          <w:szCs w:val="32"/>
          <w:highlight w:val="none"/>
        </w:rPr>
        <w:t>累计举办法治培训、法律讲座</w:t>
      </w:r>
      <w:r>
        <w:rPr>
          <w:rFonts w:hint="eastAsia" w:ascii="仿宋_GB2312" w:eastAsia="仿宋_GB2312"/>
          <w:sz w:val="32"/>
          <w:szCs w:val="32"/>
          <w:highlight w:val="none"/>
          <w:lang w:val="en-US" w:eastAsia="zh-CN"/>
        </w:rPr>
        <w:t>40</w:t>
      </w:r>
      <w:r>
        <w:rPr>
          <w:rFonts w:hint="eastAsia" w:ascii="仿宋_GB2312" w:eastAsia="仿宋_GB2312"/>
          <w:sz w:val="32"/>
          <w:szCs w:val="32"/>
          <w:highlight w:val="none"/>
        </w:rPr>
        <w:t>场次，开展法律咨询30场次，开展各类宣传活动</w:t>
      </w:r>
      <w:r>
        <w:rPr>
          <w:rFonts w:hint="eastAsia" w:ascii="仿宋_GB2312" w:eastAsia="仿宋_GB2312"/>
          <w:sz w:val="32"/>
          <w:szCs w:val="32"/>
          <w:highlight w:val="none"/>
          <w:lang w:val="en-US" w:eastAsia="zh-CN"/>
        </w:rPr>
        <w:t>45</w:t>
      </w:r>
      <w:r>
        <w:rPr>
          <w:rFonts w:hint="eastAsia" w:ascii="仿宋_GB2312" w:eastAsia="仿宋_GB2312"/>
          <w:sz w:val="32"/>
          <w:szCs w:val="32"/>
          <w:highlight w:val="none"/>
        </w:rPr>
        <w:t>场次，累计发放各类普法宣传教育资料</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0000余份，开展“法律四进”活动共计</w:t>
      </w:r>
      <w:r>
        <w:rPr>
          <w:rFonts w:hint="eastAsia" w:ascii="仿宋_GB2312" w:eastAsia="仿宋_GB2312"/>
          <w:sz w:val="32"/>
          <w:szCs w:val="32"/>
          <w:highlight w:val="none"/>
          <w:lang w:val="en-US" w:eastAsia="zh-CN"/>
        </w:rPr>
        <w:t>12</w:t>
      </w:r>
      <w:r>
        <w:rPr>
          <w:rFonts w:hint="eastAsia" w:eastAsia="仿宋_GB2312"/>
          <w:sz w:val="32"/>
          <w:szCs w:val="32"/>
          <w:highlight w:val="none"/>
        </w:rPr>
        <w:t> </w:t>
      </w:r>
      <w:r>
        <w:rPr>
          <w:rFonts w:hint="eastAsia" w:ascii="仿宋_GB2312" w:eastAsia="仿宋_GB2312"/>
          <w:sz w:val="32"/>
          <w:szCs w:val="32"/>
          <w:highlight w:val="none"/>
        </w:rPr>
        <w:t>场次</w:t>
      </w:r>
      <w:r>
        <w:rPr>
          <w:rFonts w:hint="eastAsia" w:ascii="仿宋_GB2312" w:eastAsia="仿宋_GB2312"/>
          <w:sz w:val="32"/>
          <w:szCs w:val="32"/>
          <w:highlight w:val="none"/>
          <w:lang w:eastAsia="zh-CN"/>
        </w:rPr>
        <w:t>。三</w:t>
      </w:r>
      <w:r>
        <w:rPr>
          <w:rFonts w:hint="eastAsia" w:ascii="仿宋_GB2312" w:hAnsi="仿宋_GB2312" w:eastAsia="仿宋_GB2312" w:cs="仿宋_GB2312"/>
          <w:b/>
          <w:bCs/>
          <w:color w:val="auto"/>
          <w:kern w:val="0"/>
          <w:sz w:val="32"/>
          <w:szCs w:val="32"/>
          <w:highlight w:val="none"/>
        </w:rPr>
        <w:t>是执法</w:t>
      </w:r>
      <w:r>
        <w:rPr>
          <w:rFonts w:hint="eastAsia" w:ascii="仿宋_GB2312" w:hAnsi="仿宋_GB2312" w:eastAsia="仿宋_GB2312" w:cs="仿宋_GB2312"/>
          <w:b/>
          <w:bCs/>
          <w:color w:val="auto"/>
          <w:kern w:val="0"/>
          <w:sz w:val="32"/>
          <w:szCs w:val="32"/>
          <w:highlight w:val="none"/>
          <w:lang w:eastAsia="zh-CN"/>
        </w:rPr>
        <w:t>流程更加</w:t>
      </w:r>
      <w:r>
        <w:rPr>
          <w:rFonts w:hint="eastAsia" w:ascii="仿宋_GB2312" w:hAnsi="仿宋_GB2312" w:eastAsia="仿宋_GB2312" w:cs="仿宋_GB2312"/>
          <w:b/>
          <w:bCs/>
          <w:color w:val="auto"/>
          <w:kern w:val="0"/>
          <w:sz w:val="32"/>
          <w:szCs w:val="32"/>
          <w:highlight w:val="none"/>
        </w:rPr>
        <w:t>规范。</w:t>
      </w:r>
      <w:r>
        <w:rPr>
          <w:rFonts w:hint="eastAsia" w:ascii="仿宋_GB2312" w:hAnsi="仿宋_GB2312" w:eastAsia="仿宋_GB2312" w:cs="仿宋_GB2312"/>
          <w:color w:val="auto"/>
          <w:kern w:val="0"/>
          <w:sz w:val="32"/>
          <w:szCs w:val="32"/>
          <w:highlight w:val="none"/>
        </w:rPr>
        <w:t>认真开展行政执法人员培训考试和换</w:t>
      </w:r>
      <w:r>
        <w:rPr>
          <w:rFonts w:hint="eastAsia" w:ascii="仿宋_GB2312" w:hAnsi="仿宋_GB2312" w:eastAsia="仿宋_GB2312" w:cs="仿宋_GB2312"/>
          <w:b w:val="0"/>
          <w:bCs w:val="0"/>
          <w:color w:val="auto"/>
          <w:kern w:val="0"/>
          <w:sz w:val="32"/>
          <w:szCs w:val="32"/>
          <w:highlight w:val="none"/>
        </w:rPr>
        <w:t>证工作</w:t>
      </w:r>
      <w:r>
        <w:rPr>
          <w:rFonts w:hint="eastAsia" w:ascii="仿宋_GB2312" w:hAnsi="仿宋_GB2312" w:eastAsia="仿宋_GB2312" w:cs="仿宋_GB2312"/>
          <w:b w:val="0"/>
          <w:bCs w:val="0"/>
          <w:color w:val="auto"/>
          <w:kern w:val="0"/>
          <w:sz w:val="32"/>
          <w:szCs w:val="32"/>
          <w:highlight w:val="none"/>
          <w:lang w:eastAsia="zh-CN"/>
        </w:rPr>
        <w:t>，辖区</w:t>
      </w:r>
      <w:r>
        <w:rPr>
          <w:rFonts w:hint="eastAsia" w:ascii="仿宋_GB2312" w:hAnsi="仿宋_GB2312" w:eastAsia="仿宋_GB2312" w:cs="仿宋_GB2312"/>
          <w:b w:val="0"/>
          <w:bCs w:val="0"/>
          <w:color w:val="auto"/>
          <w:kern w:val="0"/>
          <w:sz w:val="32"/>
          <w:szCs w:val="32"/>
          <w:highlight w:val="none"/>
        </w:rPr>
        <w:t>执法人员</w:t>
      </w:r>
      <w:r>
        <w:rPr>
          <w:rFonts w:hint="eastAsia" w:ascii="仿宋_GB2312" w:hAnsi="仿宋_GB2312" w:eastAsia="仿宋_GB2312" w:cs="仿宋_GB2312"/>
          <w:b w:val="0"/>
          <w:bCs w:val="0"/>
          <w:color w:val="auto"/>
          <w:kern w:val="0"/>
          <w:sz w:val="32"/>
          <w:szCs w:val="32"/>
          <w:highlight w:val="none"/>
          <w:lang w:eastAsia="zh-CN"/>
        </w:rPr>
        <w:t>全部</w:t>
      </w:r>
      <w:r>
        <w:rPr>
          <w:rFonts w:hint="eastAsia" w:ascii="仿宋_GB2312" w:hAnsi="仿宋_GB2312" w:eastAsia="仿宋_GB2312" w:cs="仿宋_GB2312"/>
          <w:b w:val="0"/>
          <w:bCs w:val="0"/>
          <w:color w:val="auto"/>
          <w:kern w:val="0"/>
          <w:sz w:val="32"/>
          <w:szCs w:val="32"/>
          <w:highlight w:val="none"/>
        </w:rPr>
        <w:t>持证上岗</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严格规范执法过程，主动公</w:t>
      </w:r>
      <w:r>
        <w:rPr>
          <w:rFonts w:hint="eastAsia" w:ascii="仿宋_GB2312" w:hAnsi="仿宋_GB2312" w:eastAsia="仿宋_GB2312" w:cs="仿宋_GB2312"/>
          <w:color w:val="auto"/>
          <w:kern w:val="0"/>
          <w:sz w:val="32"/>
          <w:szCs w:val="32"/>
          <w:highlight w:val="none"/>
        </w:rPr>
        <w:t>开公示行政执法的程序和结果，自觉接受群众监督</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按照《深圳市行政执法案卷评查标准》，落实“一案一卷宗”，做到目录清晰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卷宗规范，定期送交上级部门存档。</w:t>
      </w:r>
    </w:p>
    <w:p w14:paraId="39A79D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各类执法有序推进，市容环境不断优化</w:t>
      </w:r>
    </w:p>
    <w:p w14:paraId="28B13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_GB2312" w:hAnsi="仿宋_GB2312" w:eastAsia="仿宋_GB2312" w:cs="仿宋_GB2312"/>
          <w:color w:val="auto"/>
          <w:sz w:val="32"/>
          <w:szCs w:val="32"/>
          <w:highlight w:val="none"/>
          <w:lang w:bidi="ar"/>
        </w:rPr>
        <w:t>今年</w:t>
      </w:r>
      <w:r>
        <w:rPr>
          <w:rFonts w:hint="eastAsia" w:ascii="仿宋_GB2312" w:hAnsi="仿宋_GB2312" w:eastAsia="仿宋_GB2312" w:cs="仿宋_GB2312"/>
          <w:color w:val="auto"/>
          <w:sz w:val="32"/>
          <w:szCs w:val="32"/>
          <w:highlight w:val="none"/>
          <w:lang w:eastAsia="zh-CN" w:bidi="ar"/>
        </w:rPr>
        <w:t>以来</w:t>
      </w:r>
      <w:r>
        <w:rPr>
          <w:rFonts w:hint="eastAsia" w:ascii="仿宋_GB2312" w:hAnsi="仿宋_GB2312" w:eastAsia="仿宋_GB2312" w:cs="仿宋_GB2312"/>
          <w:color w:val="auto"/>
          <w:sz w:val="32"/>
          <w:szCs w:val="32"/>
          <w:highlight w:val="none"/>
          <w:lang w:bidi="ar"/>
        </w:rPr>
        <w:t>，街道各执法部门</w:t>
      </w:r>
      <w:r>
        <w:rPr>
          <w:rFonts w:hint="eastAsia" w:ascii="仿宋_GB2312" w:hAnsi="仿宋_GB2312" w:eastAsia="仿宋_GB2312" w:cs="仿宋_GB2312"/>
          <w:color w:val="auto"/>
          <w:sz w:val="32"/>
          <w:szCs w:val="32"/>
          <w:highlight w:val="none"/>
          <w:shd w:val="clear" w:color="auto" w:fill="FFFFFF"/>
          <w:lang w:bidi="ar"/>
        </w:rPr>
        <w:t>坚持严格规范公正文明执法，</w:t>
      </w:r>
      <w:r>
        <w:rPr>
          <w:rFonts w:hint="eastAsia" w:ascii="仿宋_GB2312" w:hAnsi="仿宋_GB2312" w:eastAsia="仿宋_GB2312" w:cs="仿宋_GB2312"/>
          <w:color w:val="auto"/>
          <w:sz w:val="32"/>
          <w:szCs w:val="32"/>
          <w:highlight w:val="none"/>
          <w:lang w:bidi="ar"/>
        </w:rPr>
        <w:t>城市治理硕果累累。</w:t>
      </w:r>
      <w:r>
        <w:rPr>
          <w:rFonts w:hint="eastAsia" w:ascii="仿宋_GB2312" w:hAnsi="仿宋_GB2312" w:eastAsia="仿宋_GB2312" w:cs="仿宋_GB2312"/>
          <w:b/>
          <w:bCs/>
          <w:color w:val="auto"/>
          <w:sz w:val="32"/>
          <w:szCs w:val="32"/>
          <w:highlight w:val="none"/>
          <w:lang w:bidi="ar"/>
        </w:rPr>
        <w:t>一是环卫执法精准开展。</w:t>
      </w:r>
      <w:r>
        <w:rPr>
          <w:rFonts w:hint="eastAsia" w:ascii="仿宋_GB2312" w:hAnsi="仿宋_GB2312" w:eastAsia="仿宋_GB2312" w:cs="仿宋_GB2312"/>
          <w:color w:val="auto"/>
          <w:sz w:val="32"/>
          <w:szCs w:val="32"/>
          <w:highlight w:val="none"/>
          <w:lang w:bidi="ar"/>
        </w:rPr>
        <w:t>紧扣环卫指数测评结果，针对城中村、集贸市场、老旧小区、背街小巷等市容薄弱点存在的突出问题，持续开展辖区环卫大检查大执法行动，1至1</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bidi="ar"/>
        </w:rPr>
        <w:t>月，共办理城管行政处罚案件7</w:t>
      </w:r>
      <w:r>
        <w:rPr>
          <w:rFonts w:hint="eastAsia" w:ascii="仿宋_GB2312" w:hAnsi="仿宋_GB2312" w:eastAsia="仿宋_GB2312" w:cs="仿宋_GB2312"/>
          <w:color w:val="auto"/>
          <w:sz w:val="32"/>
          <w:szCs w:val="32"/>
          <w:highlight w:val="none"/>
          <w:lang w:val="en-US" w:eastAsia="zh-CN" w:bidi="ar"/>
        </w:rPr>
        <w:t>9</w:t>
      </w:r>
      <w:r>
        <w:rPr>
          <w:rFonts w:hint="eastAsia" w:ascii="仿宋_GB2312" w:hAnsi="仿宋_GB2312" w:eastAsia="仿宋_GB2312" w:cs="仿宋_GB2312"/>
          <w:color w:val="auto"/>
          <w:sz w:val="32"/>
          <w:szCs w:val="32"/>
          <w:highlight w:val="none"/>
          <w:lang w:bidi="ar"/>
        </w:rPr>
        <w:t>宗，累缴罚款9</w:t>
      </w:r>
      <w:r>
        <w:rPr>
          <w:rFonts w:hint="eastAsia" w:ascii="仿宋_GB2312" w:hAnsi="仿宋_GB2312" w:eastAsia="仿宋_GB2312" w:cs="仿宋_GB2312"/>
          <w:color w:val="auto"/>
          <w:sz w:val="32"/>
          <w:szCs w:val="32"/>
          <w:highlight w:val="none"/>
          <w:lang w:val="en-US" w:eastAsia="zh-CN" w:bidi="ar"/>
        </w:rPr>
        <w:t>5865</w:t>
      </w:r>
      <w:r>
        <w:rPr>
          <w:rFonts w:hint="eastAsia" w:ascii="仿宋_GB2312" w:hAnsi="仿宋_GB2312" w:eastAsia="仿宋_GB2312" w:cs="仿宋_GB2312"/>
          <w:color w:val="auto"/>
          <w:sz w:val="32"/>
          <w:szCs w:val="32"/>
          <w:highlight w:val="none"/>
          <w:lang w:bidi="ar"/>
        </w:rPr>
        <w:t>元，下半年以来街道市容环境卫生指数排名稳中有升。</w:t>
      </w:r>
      <w:r>
        <w:rPr>
          <w:rFonts w:hint="eastAsia" w:ascii="仿宋_GB2312" w:hAnsi="仿宋_GB2312" w:eastAsia="仿宋_GB2312" w:cs="仿宋_GB2312"/>
          <w:b/>
          <w:bCs w:val="0"/>
          <w:color w:val="auto"/>
          <w:sz w:val="32"/>
          <w:szCs w:val="32"/>
          <w:highlight w:val="none"/>
          <w:lang w:eastAsia="zh-CN" w:bidi="ar"/>
        </w:rPr>
        <w:t>二</w:t>
      </w:r>
      <w:r>
        <w:rPr>
          <w:rFonts w:hint="eastAsia" w:ascii="仿宋_GB2312" w:hAnsi="仿宋_GB2312" w:eastAsia="仿宋_GB2312" w:cs="仿宋_GB2312"/>
          <w:b/>
          <w:bCs w:val="0"/>
          <w:color w:val="auto"/>
          <w:sz w:val="32"/>
          <w:szCs w:val="32"/>
          <w:highlight w:val="none"/>
          <w:lang w:bidi="ar"/>
        </w:rPr>
        <w:t>是</w:t>
      </w:r>
      <w:r>
        <w:rPr>
          <w:rFonts w:hint="eastAsia" w:ascii="仿宋_GB2312" w:hAnsi="仿宋_GB2312" w:eastAsia="仿宋_GB2312" w:cs="仿宋_GB2312"/>
          <w:b/>
          <w:bCs w:val="0"/>
          <w:color w:val="auto"/>
          <w:sz w:val="32"/>
          <w:szCs w:val="32"/>
          <w:highlight w:val="none"/>
          <w:lang w:eastAsia="zh-CN" w:bidi="ar"/>
        </w:rPr>
        <w:t>违建顽疾</w:t>
      </w:r>
      <w:r>
        <w:rPr>
          <w:rFonts w:hint="eastAsia" w:ascii="仿宋_GB2312" w:hAnsi="仿宋_GB2312" w:eastAsia="仿宋_GB2312" w:cs="仿宋_GB2312"/>
          <w:b/>
          <w:bCs w:val="0"/>
          <w:color w:val="auto"/>
          <w:sz w:val="32"/>
          <w:szCs w:val="32"/>
          <w:highlight w:val="none"/>
          <w:lang w:bidi="ar"/>
        </w:rPr>
        <w:t>控增减存。</w:t>
      </w:r>
      <w:r>
        <w:rPr>
          <w:rFonts w:hint="eastAsia" w:ascii="仿宋_GB2312" w:hAnsi="仿宋_GB2312" w:eastAsia="仿宋_GB2312" w:cs="仿宋_GB2312"/>
          <w:b w:val="0"/>
          <w:bCs/>
          <w:color w:val="auto"/>
          <w:sz w:val="32"/>
          <w:szCs w:val="32"/>
          <w:highlight w:val="none"/>
          <w:lang w:eastAsia="zh-CN" w:bidi="ar"/>
        </w:rPr>
        <w:t>贯彻落实上级有关要求，</w:t>
      </w:r>
      <w:r>
        <w:rPr>
          <w:rFonts w:hint="eastAsia" w:ascii="仿宋_GB2312" w:hAnsi="仿宋_GB2312" w:eastAsia="仿宋_GB2312" w:cs="仿宋_GB2312"/>
          <w:b w:val="0"/>
          <w:bCs/>
          <w:color w:val="auto"/>
          <w:sz w:val="32"/>
          <w:szCs w:val="32"/>
          <w:highlight w:val="none"/>
        </w:rPr>
        <w:t>紧盯“无新增、消存量”这一核心任务，以强</w:t>
      </w:r>
      <w:r>
        <w:rPr>
          <w:rFonts w:hint="eastAsia" w:ascii="仿宋_GB2312" w:hAnsi="仿宋_GB2312" w:eastAsia="仿宋_GB2312" w:cs="仿宋_GB2312"/>
          <w:color w:val="auto"/>
          <w:sz w:val="32"/>
          <w:szCs w:val="32"/>
          <w:highlight w:val="none"/>
        </w:rPr>
        <w:t>力执法为工作主轴，全面展开“飓风”查违行动。</w:t>
      </w:r>
      <w:r>
        <w:rPr>
          <w:rFonts w:hint="eastAsia" w:ascii="仿宋_GB2312" w:hAnsi="仿宋_GB2312" w:eastAsia="仿宋_GB2312" w:cs="仿宋_GB2312"/>
          <w:color w:val="auto"/>
          <w:sz w:val="32"/>
          <w:szCs w:val="32"/>
          <w:highlight w:val="none"/>
          <w:lang w:eastAsia="zh-CN"/>
        </w:rPr>
        <w:t>依托工地防疫督导工作平台实现工地违建防控，确保疫情期间工地违建零发生；加快消化存量，</w:t>
      </w:r>
      <w:r>
        <w:rPr>
          <w:rFonts w:hint="eastAsia" w:ascii="仿宋_GB2312" w:hAnsi="仿宋_GB2312" w:eastAsia="仿宋_GB2312" w:cs="仿宋_GB2312"/>
          <w:color w:val="auto"/>
          <w:sz w:val="32"/>
          <w:szCs w:val="32"/>
          <w:highlight w:val="none"/>
          <w:lang w:val="en-US" w:eastAsia="zh-CN"/>
        </w:rPr>
        <w:t>1－11月依法拆除违建15处，累计拆除面积86274.82平方米；核查各类案件线索91宗；核查卫片33宗；共完成对辖区75栋0962前历史遗留违建、8栋0962后历史遗留违建的安全纳管工作。</w:t>
      </w:r>
      <w:r>
        <w:rPr>
          <w:rFonts w:hint="eastAsia" w:ascii="仿宋_GB2312" w:hAnsi="仿宋_GB2312" w:eastAsia="仿宋_GB2312" w:cs="仿宋_GB2312"/>
          <w:b/>
          <w:bCs w:val="0"/>
          <w:color w:val="auto"/>
          <w:kern w:val="0"/>
          <w:sz w:val="32"/>
          <w:szCs w:val="32"/>
          <w:highlight w:val="none"/>
          <w:lang w:eastAsia="zh-CN"/>
        </w:rPr>
        <w:t>三</w:t>
      </w:r>
      <w:r>
        <w:rPr>
          <w:rFonts w:hint="eastAsia" w:ascii="仿宋_GB2312" w:hAnsi="仿宋_GB2312" w:eastAsia="仿宋_GB2312" w:cs="仿宋_GB2312"/>
          <w:b/>
          <w:bCs w:val="0"/>
          <w:color w:val="auto"/>
          <w:kern w:val="0"/>
          <w:sz w:val="32"/>
          <w:szCs w:val="32"/>
          <w:highlight w:val="none"/>
        </w:rPr>
        <w:t>是</w:t>
      </w:r>
      <w:r>
        <w:rPr>
          <w:rFonts w:hint="eastAsia" w:ascii="仿宋" w:hAnsi="仿宋" w:eastAsia="仿宋" w:cs="仿宋"/>
          <w:b/>
          <w:bCs/>
          <w:sz w:val="32"/>
          <w:szCs w:val="32"/>
          <w:highlight w:val="none"/>
          <w:lang w:eastAsia="zh-CN"/>
        </w:rPr>
        <w:t>标杆成果巩固深化。</w:t>
      </w:r>
      <w:r>
        <w:rPr>
          <w:rFonts w:hint="eastAsia" w:ascii="仿宋" w:hAnsi="仿宋" w:eastAsia="仿宋" w:cs="仿宋"/>
          <w:sz w:val="32"/>
          <w:szCs w:val="32"/>
          <w:highlight w:val="none"/>
          <w:lang w:eastAsia="zh-CN"/>
        </w:rPr>
        <w:t>依托“物管城市”运行机制，融合</w:t>
      </w:r>
      <w:r>
        <w:rPr>
          <w:rFonts w:hint="eastAsia" w:ascii="仿宋" w:hAnsi="仿宋" w:eastAsia="仿宋" w:cs="仿宋"/>
          <w:sz w:val="32"/>
          <w:szCs w:val="32"/>
          <w:highlight w:val="none"/>
        </w:rPr>
        <w:t>“环境</w:t>
      </w:r>
      <w:r>
        <w:rPr>
          <w:rFonts w:hint="eastAsia" w:ascii="仿宋" w:hAnsi="仿宋" w:eastAsia="仿宋" w:cs="仿宋"/>
          <w:sz w:val="32"/>
          <w:szCs w:val="32"/>
          <w:highlight w:val="none"/>
          <w:lang w:eastAsia="zh-CN"/>
        </w:rPr>
        <w:t>清洁</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eastAsia="zh-CN"/>
        </w:rPr>
        <w:t>“红马甲行走社区”等活动深化田面村标杆社区基层治理成果，对城中村市容环境秩序保持日常巡查督查力度不减，定期专项整治强度不松。</w:t>
      </w:r>
      <w:r>
        <w:rPr>
          <w:rFonts w:hint="eastAsia" w:ascii="仿宋" w:hAnsi="仿宋" w:eastAsia="仿宋" w:cs="仿宋"/>
          <w:b/>
          <w:bCs/>
          <w:sz w:val="32"/>
          <w:szCs w:val="32"/>
          <w:highlight w:val="none"/>
          <w:lang w:eastAsia="zh-CN"/>
        </w:rPr>
        <w:t>四是</w:t>
      </w:r>
      <w:r>
        <w:rPr>
          <w:rFonts w:hint="eastAsia" w:ascii="仿宋" w:hAnsi="仿宋" w:eastAsia="仿宋" w:cs="仿宋"/>
          <w:b/>
          <w:bCs/>
          <w:sz w:val="32"/>
          <w:szCs w:val="32"/>
          <w:highlight w:val="none"/>
          <w:lang w:val="en-US" w:eastAsia="zh-CN"/>
        </w:rPr>
        <w:t>各类专项执法有序推进。</w:t>
      </w:r>
      <w:r>
        <w:rPr>
          <w:rFonts w:hint="eastAsia" w:ascii="仿宋" w:hAnsi="仿宋" w:eastAsia="仿宋" w:cs="仿宋"/>
          <w:sz w:val="32"/>
          <w:szCs w:val="32"/>
          <w:highlight w:val="none"/>
          <w:lang w:eastAsia="zh-CN"/>
        </w:rPr>
        <w:t>按照全国文明城市测评标准和上级统一部署，</w:t>
      </w:r>
      <w:r>
        <w:rPr>
          <w:rFonts w:hint="eastAsia" w:ascii="仿宋" w:hAnsi="仿宋" w:eastAsia="仿宋" w:cs="仿宋"/>
          <w:b w:val="0"/>
          <w:bCs w:val="0"/>
          <w:sz w:val="32"/>
          <w:szCs w:val="32"/>
          <w:highlight w:val="none"/>
          <w:lang w:val="en-US" w:eastAsia="zh-CN"/>
        </w:rPr>
        <w:t>全力</w:t>
      </w:r>
      <w:r>
        <w:rPr>
          <w:rFonts w:hint="eastAsia" w:ascii="仿宋" w:hAnsi="仿宋" w:eastAsia="仿宋" w:cs="仿宋"/>
          <w:b w:val="0"/>
          <w:bCs w:val="0"/>
          <w:sz w:val="32"/>
          <w:szCs w:val="32"/>
          <w:highlight w:val="none"/>
          <w:lang w:eastAsia="zh-CN"/>
        </w:rPr>
        <w:t>推</w:t>
      </w:r>
      <w:r>
        <w:rPr>
          <w:rFonts w:hint="eastAsia" w:ascii="仿宋" w:hAnsi="仿宋" w:eastAsia="仿宋" w:cs="仿宋"/>
          <w:sz w:val="32"/>
          <w:szCs w:val="32"/>
          <w:highlight w:val="none"/>
          <w:lang w:eastAsia="zh-CN"/>
        </w:rPr>
        <w:t>进辖区文明养犬“十个一”建设，累计发出文明养犬宣传品</w:t>
      </w:r>
      <w:r>
        <w:rPr>
          <w:rFonts w:hint="eastAsia" w:ascii="仿宋" w:hAnsi="仿宋" w:eastAsia="仿宋" w:cs="仿宋"/>
          <w:sz w:val="32"/>
          <w:szCs w:val="32"/>
          <w:highlight w:val="none"/>
          <w:lang w:val="en-US" w:eastAsia="zh-CN"/>
        </w:rPr>
        <w:t>3125余份，发出法律文书16份、办案4起；落实依法防控要求，</w:t>
      </w:r>
      <w:r>
        <w:rPr>
          <w:rFonts w:hint="eastAsia" w:ascii="仿宋_GB2312" w:hAnsi="仿宋_GB2312" w:eastAsia="仿宋_GB2312" w:cs="仿宋_GB2312"/>
          <w:color w:val="auto"/>
          <w:kern w:val="0"/>
          <w:sz w:val="32"/>
          <w:szCs w:val="32"/>
          <w:highlight w:val="none"/>
        </w:rPr>
        <w:t>坚决取缔</w:t>
      </w:r>
      <w:r>
        <w:rPr>
          <w:rFonts w:hint="eastAsia" w:ascii="仿宋_GB2312" w:hAnsi="仿宋_GB2312" w:eastAsia="仿宋_GB2312" w:cs="仿宋_GB2312"/>
          <w:color w:val="auto"/>
          <w:kern w:val="0"/>
          <w:sz w:val="32"/>
          <w:szCs w:val="32"/>
          <w:highlight w:val="none"/>
          <w:lang w:eastAsia="zh-CN"/>
        </w:rPr>
        <w:t>辖区</w:t>
      </w:r>
      <w:r>
        <w:rPr>
          <w:rFonts w:hint="eastAsia" w:ascii="仿宋_GB2312" w:hAnsi="仿宋_GB2312" w:eastAsia="仿宋_GB2312" w:cs="仿宋_GB2312"/>
          <w:color w:val="auto"/>
          <w:kern w:val="0"/>
          <w:sz w:val="32"/>
          <w:szCs w:val="32"/>
          <w:highlight w:val="none"/>
        </w:rPr>
        <w:t>活禽批发市场，严厉打击野生动物非法交易行为</w:t>
      </w:r>
      <w:r>
        <w:rPr>
          <w:rFonts w:hint="eastAsia" w:ascii="仿宋_GB2312" w:hAnsi="仿宋_GB2312" w:eastAsia="仿宋_GB2312" w:cs="仿宋_GB2312"/>
          <w:color w:val="auto"/>
          <w:kern w:val="0"/>
          <w:sz w:val="32"/>
          <w:szCs w:val="32"/>
          <w:highlight w:val="none"/>
          <w:lang w:eastAsia="zh-CN"/>
        </w:rPr>
        <w:t>；</w:t>
      </w:r>
      <w:r>
        <w:rPr>
          <w:rFonts w:hint="eastAsia" w:ascii="仿宋" w:hAnsi="仿宋" w:eastAsia="仿宋" w:cs="仿宋"/>
          <w:b w:val="0"/>
          <w:bCs w:val="0"/>
          <w:sz w:val="32"/>
          <w:szCs w:val="32"/>
          <w:highlight w:val="none"/>
          <w:lang w:val="en-US" w:eastAsia="zh-CN"/>
        </w:rPr>
        <w:t>规范实施垃圾分类执法，</w:t>
      </w:r>
      <w:r>
        <w:rPr>
          <w:rFonts w:hint="eastAsia" w:ascii="仿宋" w:hAnsi="仿宋" w:eastAsia="仿宋" w:cs="仿宋"/>
          <w:sz w:val="32"/>
          <w:szCs w:val="32"/>
          <w:highlight w:val="none"/>
          <w:lang w:eastAsia="zh-CN"/>
        </w:rPr>
        <w:t>密切联系街道相关职能部门、社区工作站及物业单位，做实做细</w:t>
      </w:r>
      <w:r>
        <w:rPr>
          <w:rFonts w:hint="eastAsia" w:ascii="仿宋" w:hAnsi="仿宋" w:eastAsia="仿宋" w:cs="仿宋"/>
          <w:sz w:val="32"/>
          <w:szCs w:val="32"/>
          <w:highlight w:val="none"/>
          <w:lang w:val="en-US" w:eastAsia="zh-CN"/>
        </w:rPr>
        <w:t>宣传普法及警示教育工作，今年9月内对20家物业单位、180名个人做出责令整改通知。</w:t>
      </w:r>
    </w:p>
    <w:p w14:paraId="7106E203">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（三）安全生产形势好转，专项整治从细落实</w:t>
      </w:r>
    </w:p>
    <w:p w14:paraId="58B1B4B9">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 w:hAnsi="仿宋" w:eastAsia="仿宋" w:cs="仿宋"/>
          <w:kern w:val="2"/>
          <w:sz w:val="32"/>
          <w:szCs w:val="32"/>
          <w:highlight w:val="none"/>
          <w:lang w:val="en-US" w:eastAsia="zh-CN" w:bidi="ar-SA"/>
        </w:rPr>
        <w:t>结合市区有关规定，制定《华富街道安全生产专项整治三年行动2020年度实施方案》，安全隐患排查和安全预防控制体系进一步完善，辖区安全生产整体水平明显提高、安全生产形势明显好转。</w:t>
      </w:r>
      <w:r>
        <w:rPr>
          <w:rFonts w:hint="eastAsia" w:ascii="仿宋" w:hAnsi="仿宋" w:eastAsia="仿宋" w:cs="仿宋"/>
          <w:b/>
          <w:bCs/>
          <w:kern w:val="2"/>
          <w:sz w:val="32"/>
          <w:szCs w:val="32"/>
          <w:highlight w:val="none"/>
          <w:lang w:val="en-US" w:eastAsia="zh-CN" w:bidi="ar-SA"/>
        </w:rPr>
        <w:t>一是</w:t>
      </w:r>
      <w:r>
        <w:rPr>
          <w:rFonts w:hint="eastAsia" w:ascii="仿宋_GB2312" w:hAnsi="仿宋_GB2312" w:eastAsia="仿宋_GB2312" w:cs="仿宋_GB2312"/>
          <w:b/>
          <w:bCs/>
          <w:sz w:val="32"/>
          <w:szCs w:val="32"/>
          <w:highlight w:val="none"/>
          <w:lang w:val="en-US" w:eastAsia="zh-CN"/>
        </w:rPr>
        <w:t>执法检查扎实开展。</w:t>
      </w:r>
      <w:r>
        <w:rPr>
          <w:rFonts w:hint="eastAsia" w:ascii="仿宋_GB2312" w:hAnsi="仿宋_GB2312" w:eastAsia="仿宋_GB2312" w:cs="仿宋_GB2312"/>
          <w:b w:val="0"/>
          <w:bCs w:val="0"/>
          <w:sz w:val="32"/>
          <w:szCs w:val="32"/>
          <w:highlight w:val="none"/>
          <w:lang w:val="en-US" w:eastAsia="zh-CN"/>
        </w:rPr>
        <w:t>按照2020年执法计划，将对辖区48家重点单位及双随机对象开展执法检查。</w:t>
      </w:r>
      <w:r>
        <w:rPr>
          <w:rFonts w:hint="eastAsia" w:ascii="仿宋" w:hAnsi="仿宋" w:eastAsia="仿宋" w:cs="仿宋"/>
          <w:kern w:val="2"/>
          <w:sz w:val="32"/>
          <w:szCs w:val="32"/>
          <w:highlight w:val="none"/>
          <w:lang w:val="en-US" w:eastAsia="zh-CN" w:bidi="ar-SA"/>
        </w:rPr>
        <w:t>华富街道目前已完成执法检查共72次、检查企业60家、整改复查21次，其中“双随机”检查22家；立案查处案件共16宗，已结案5宗。</w:t>
      </w:r>
      <w:r>
        <w:rPr>
          <w:rFonts w:hint="eastAsia" w:ascii="仿宋" w:hAnsi="仿宋" w:eastAsia="仿宋" w:cs="仿宋"/>
          <w:b/>
          <w:bCs/>
          <w:kern w:val="2"/>
          <w:sz w:val="32"/>
          <w:szCs w:val="32"/>
          <w:highlight w:val="none"/>
          <w:lang w:val="en-US" w:eastAsia="zh-CN" w:bidi="ar-SA"/>
        </w:rPr>
        <w:t>二是安全巡查全面覆盖。</w:t>
      </w:r>
      <w:r>
        <w:rPr>
          <w:rFonts w:hint="eastAsia" w:ascii="仿宋" w:hAnsi="仿宋" w:eastAsia="仿宋" w:cs="仿宋"/>
          <w:kern w:val="2"/>
          <w:sz w:val="32"/>
          <w:szCs w:val="32"/>
          <w:highlight w:val="none"/>
          <w:lang w:val="en-US" w:eastAsia="zh-CN" w:bidi="ar-SA"/>
        </w:rPr>
        <w:t>面向辖区企业开展有限空间、用电安全、餐饮报警系统安装情况等专项安全巡查，共出动巡查人员1650人次，巡查辖区纳管企业147家，查出隐患550处、整改550处，整改率达到100%。</w:t>
      </w:r>
      <w:r>
        <w:rPr>
          <w:rFonts w:hint="eastAsia" w:ascii="仿宋" w:hAnsi="仿宋" w:eastAsia="仿宋" w:cs="仿宋"/>
          <w:b/>
          <w:bCs/>
          <w:kern w:val="2"/>
          <w:sz w:val="32"/>
          <w:szCs w:val="32"/>
          <w:highlight w:val="none"/>
          <w:lang w:val="en-US" w:eastAsia="zh-CN" w:bidi="ar-SA"/>
        </w:rPr>
        <w:t>三是安全教育参与活跃。</w:t>
      </w:r>
      <w:r>
        <w:rPr>
          <w:rFonts w:hint="eastAsia" w:ascii="仿宋" w:hAnsi="仿宋" w:eastAsia="仿宋" w:cs="仿宋"/>
          <w:kern w:val="2"/>
          <w:sz w:val="32"/>
          <w:szCs w:val="32"/>
          <w:highlight w:val="none"/>
          <w:lang w:val="en-US" w:eastAsia="zh-CN" w:bidi="ar-SA"/>
        </w:rPr>
        <w:t>疫情期间开展线上安全教育培训学习，“学习强安”APP录入一般生产经营单位188家，已激活188家，企业激活人数（总激活）3359人，激活率达100%。积极开展安全生产月宣传活动十余场</w:t>
      </w:r>
      <w:r>
        <w:rPr>
          <w:rFonts w:hint="eastAsia" w:ascii="仿宋_GB2312" w:eastAsia="仿宋_GB2312"/>
          <w:sz w:val="32"/>
          <w:szCs w:val="32"/>
          <w:highlight w:val="none"/>
          <w:lang w:val="en-US" w:eastAsia="zh-CN"/>
        </w:rPr>
        <w:t>，派发安全宣传资料3000余份，发放宣传品1500余份，辖区企事业单位员工、居民</w:t>
      </w:r>
      <w:r>
        <w:rPr>
          <w:rFonts w:hint="eastAsia" w:ascii="仿宋" w:hAnsi="仿宋" w:eastAsia="仿宋" w:cs="仿宋"/>
          <w:kern w:val="2"/>
          <w:sz w:val="32"/>
          <w:szCs w:val="32"/>
          <w:highlight w:val="none"/>
          <w:lang w:val="en-US" w:eastAsia="zh-CN" w:bidi="ar-SA"/>
        </w:rPr>
        <w:t>安全生产意识进一步提升。</w:t>
      </w:r>
      <w:r>
        <w:rPr>
          <w:rFonts w:hint="eastAsia" w:ascii="仿宋" w:hAnsi="仿宋" w:eastAsia="仿宋" w:cs="仿宋"/>
          <w:b/>
          <w:bCs/>
          <w:kern w:val="2"/>
          <w:sz w:val="32"/>
          <w:szCs w:val="32"/>
          <w:highlight w:val="none"/>
          <w:lang w:val="en-US" w:eastAsia="zh-CN" w:bidi="ar-SA"/>
        </w:rPr>
        <w:t>四是</w:t>
      </w:r>
      <w:r>
        <w:rPr>
          <w:rFonts w:hint="eastAsia" w:ascii="仿宋_GB2312" w:hAnsi="仿宋_GB2312" w:eastAsia="仿宋_GB2312" w:cs="仿宋_GB2312"/>
          <w:b/>
          <w:bCs/>
          <w:kern w:val="2"/>
          <w:sz w:val="32"/>
          <w:szCs w:val="32"/>
          <w:highlight w:val="none"/>
          <w:lang w:val="en-US" w:eastAsia="zh-CN"/>
        </w:rPr>
        <w:t>薄弱环节精准破题。</w:t>
      </w:r>
      <w:r>
        <w:rPr>
          <w:rFonts w:hint="eastAsia" w:ascii="仿宋_GB2312" w:hAnsi="仿宋_GB2312" w:eastAsia="仿宋_GB2312" w:cs="仿宋_GB2312"/>
          <w:sz w:val="32"/>
          <w:szCs w:val="32"/>
          <w:highlight w:val="none"/>
          <w:lang w:val="en-US" w:eastAsia="zh-CN"/>
        </w:rPr>
        <w:t>积极推广应用消防安全物联网检测，借助技术手段安装三小场所红外探测仪，严防三小场所住人隐患。目前，辖区7个社区152家门店已安装红外探测仪，共安装设备393套。开展电动自行车消防安全专项整治，在“一电池一编号”工作基础上，探索安装电动自行车（电池）感应器，以便第一时间定位并制止室内充电不安全行为；充分调研居民需求，引入集成电动车停放、防盗监控和充电功能的充电驿站，目前已在莲花一村、田面村安装完毕。</w:t>
      </w:r>
      <w:r>
        <w:rPr>
          <w:rFonts w:hint="eastAsia" w:ascii="仿宋_GB2312" w:hAnsi="仿宋_GB2312" w:eastAsia="仿宋_GB2312" w:cs="仿宋_GB2312"/>
          <w:b/>
          <w:bCs/>
          <w:sz w:val="32"/>
          <w:szCs w:val="32"/>
          <w:highlight w:val="none"/>
          <w:lang w:val="en-US" w:eastAsia="zh-CN"/>
        </w:rPr>
        <w:t>五是应急</w:t>
      </w:r>
      <w:r>
        <w:rPr>
          <w:rFonts w:hint="eastAsia" w:ascii="仿宋_GB2312" w:eastAsia="仿宋_GB2312"/>
          <w:b/>
          <w:bCs/>
          <w:sz w:val="32"/>
          <w:szCs w:val="32"/>
          <w:highlight w:val="none"/>
          <w:lang w:val="en-US" w:eastAsia="zh-CN"/>
        </w:rPr>
        <w:t>基础有效夯实。</w:t>
      </w:r>
      <w:r>
        <w:rPr>
          <w:rFonts w:hint="eastAsia" w:ascii="仿宋_GB2312" w:eastAsia="仿宋_GB2312"/>
          <w:b w:val="0"/>
          <w:bCs w:val="0"/>
          <w:sz w:val="32"/>
          <w:szCs w:val="32"/>
          <w:highlight w:val="none"/>
          <w:lang w:val="en-US" w:eastAsia="zh-CN"/>
        </w:rPr>
        <w:t>建</w:t>
      </w:r>
      <w:r>
        <w:rPr>
          <w:rFonts w:hint="eastAsia" w:ascii="仿宋_GB2312" w:hAnsi="仿宋_GB2312" w:eastAsia="仿宋_GB2312" w:cs="仿宋_GB2312"/>
          <w:b w:val="0"/>
          <w:bCs w:val="0"/>
          <w:snapToGrid w:val="0"/>
          <w:sz w:val="32"/>
          <w:szCs w:val="32"/>
          <w:highlight w:val="none"/>
          <w:lang w:val="en-US" w:eastAsia="zh-CN"/>
        </w:rPr>
        <w:t>立了一支以应急管理办、城市建设与管理办、执法队巡查人员为主要力量的三防应急队伍，定期开展应急演练；</w:t>
      </w:r>
      <w:r>
        <w:rPr>
          <w:rFonts w:hint="eastAsia" w:ascii="仿宋_GB2312" w:hAnsi="仿宋_GB2312" w:eastAsia="仿宋_GB2312" w:cs="仿宋_GB2312"/>
          <w:b w:val="0"/>
          <w:bCs w:val="0"/>
          <w:color w:val="auto"/>
          <w:sz w:val="32"/>
          <w:szCs w:val="32"/>
          <w:highlight w:val="none"/>
          <w:lang w:eastAsia="zh-CN"/>
        </w:rPr>
        <w:t>邀请专家和</w:t>
      </w:r>
      <w:r>
        <w:rPr>
          <w:rFonts w:hint="eastAsia" w:ascii="仿宋_GB2312" w:eastAsia="仿宋_GB2312"/>
          <w:sz w:val="32"/>
          <w:szCs w:val="32"/>
          <w:highlight w:val="none"/>
          <w:lang w:eastAsia="zh-CN"/>
        </w:rPr>
        <w:t>田面应急分队队员对各社区应急救援队员开展</w:t>
      </w:r>
      <w:r>
        <w:rPr>
          <w:rFonts w:hint="eastAsia" w:ascii="仿宋_GB2312" w:eastAsia="仿宋_GB2312"/>
          <w:b w:val="0"/>
          <w:bCs w:val="0"/>
          <w:color w:val="auto"/>
          <w:sz w:val="32"/>
          <w:szCs w:val="32"/>
          <w:highlight w:val="none"/>
        </w:rPr>
        <w:t>应急救援一体化</w:t>
      </w:r>
      <w:r>
        <w:rPr>
          <w:rFonts w:hint="eastAsia" w:ascii="仿宋_GB2312" w:hAnsi="仿宋_GB2312" w:eastAsia="仿宋_GB2312" w:cs="仿宋_GB2312"/>
          <w:b w:val="0"/>
          <w:bCs w:val="0"/>
          <w:color w:val="auto"/>
          <w:sz w:val="32"/>
          <w:szCs w:val="32"/>
          <w:highlight w:val="none"/>
          <w:lang w:eastAsia="zh-CN"/>
        </w:rPr>
        <w:t>理论知识培训和</w:t>
      </w:r>
      <w:r>
        <w:rPr>
          <w:rFonts w:hint="eastAsia" w:ascii="仿宋_GB2312" w:eastAsia="仿宋_GB2312"/>
          <w:sz w:val="32"/>
          <w:szCs w:val="32"/>
          <w:highlight w:val="none"/>
          <w:lang w:val="en-US" w:eastAsia="zh-CN"/>
        </w:rPr>
        <w:t>5场</w:t>
      </w:r>
      <w:r>
        <w:rPr>
          <w:rFonts w:hint="eastAsia" w:ascii="仿宋_GB2312" w:eastAsia="仿宋_GB2312"/>
          <w:sz w:val="32"/>
          <w:szCs w:val="32"/>
          <w:highlight w:val="none"/>
          <w:lang w:eastAsia="zh-CN"/>
        </w:rPr>
        <w:t>实操</w:t>
      </w:r>
      <w:r>
        <w:rPr>
          <w:rFonts w:hint="eastAsia" w:ascii="仿宋_GB2312" w:eastAsia="仿宋_GB2312"/>
          <w:b w:val="0"/>
          <w:bCs w:val="0"/>
          <w:sz w:val="32"/>
          <w:szCs w:val="32"/>
          <w:highlight w:val="none"/>
          <w:lang w:eastAsia="zh-CN"/>
        </w:rPr>
        <w:t>培训</w:t>
      </w:r>
      <w:r>
        <w:rPr>
          <w:rFonts w:hint="eastAsia" w:ascii="仿宋_GB2312" w:hAnsi="仿宋_GB2312" w:eastAsia="仿宋_GB2312" w:cs="仿宋_GB2312"/>
          <w:color w:val="auto"/>
          <w:sz w:val="32"/>
          <w:szCs w:val="32"/>
          <w:highlight w:val="none"/>
          <w:lang w:eastAsia="zh-CN"/>
        </w:rPr>
        <w:t>，基层应急救援能力进一步提升。</w:t>
      </w:r>
    </w:p>
    <w:p w14:paraId="1623728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 w:hAnsi="楷体" w:eastAsia="楷体" w:cs="楷体"/>
          <w:color w:val="auto"/>
          <w:sz w:val="32"/>
          <w:szCs w:val="32"/>
          <w:highlight w:val="none"/>
          <w:shd w:val="clear" w:color="auto" w:fill="FFFFFF"/>
        </w:rPr>
      </w:pPr>
      <w:r>
        <w:rPr>
          <w:rFonts w:hint="eastAsia" w:ascii="楷体" w:hAnsi="楷体" w:eastAsia="楷体" w:cs="楷体"/>
          <w:color w:val="auto"/>
          <w:sz w:val="32"/>
          <w:szCs w:val="32"/>
          <w:highlight w:val="none"/>
          <w:shd w:val="clear" w:color="auto" w:fill="FFFFFF"/>
          <w:lang w:eastAsia="zh-CN"/>
        </w:rPr>
        <w:t>关口前移主动作为，</w:t>
      </w:r>
      <w:r>
        <w:rPr>
          <w:rFonts w:hint="eastAsia" w:ascii="楷体" w:hAnsi="楷体" w:eastAsia="楷体" w:cs="楷体"/>
          <w:color w:val="auto"/>
          <w:sz w:val="32"/>
          <w:szCs w:val="32"/>
          <w:highlight w:val="none"/>
          <w:shd w:val="clear" w:color="auto" w:fill="FFFFFF"/>
        </w:rPr>
        <w:t>新冠疫情</w:t>
      </w:r>
      <w:r>
        <w:rPr>
          <w:rFonts w:hint="eastAsia" w:ascii="楷体" w:hAnsi="楷体" w:eastAsia="楷体" w:cs="楷体"/>
          <w:color w:val="auto"/>
          <w:sz w:val="32"/>
          <w:szCs w:val="32"/>
          <w:highlight w:val="none"/>
          <w:shd w:val="clear" w:color="auto" w:fill="FFFFFF"/>
          <w:lang w:eastAsia="zh-CN"/>
        </w:rPr>
        <w:t>有效防控</w:t>
      </w:r>
    </w:p>
    <w:p w14:paraId="259811F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snapToGrid w:val="0"/>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rPr>
        <w:t>深入贯彻落实中央、省委、市委、区委关于疫情防控工作的部署要求，坚持运用法治思维和法治方式开展疫情防控工作。</w:t>
      </w:r>
      <w:r>
        <w:rPr>
          <w:rFonts w:hint="eastAsia" w:ascii="仿宋_GB2312" w:hAnsi="仿宋_GB2312" w:eastAsia="仿宋_GB2312" w:cs="仿宋_GB2312"/>
          <w:b/>
          <w:bCs/>
          <w:color w:val="auto"/>
          <w:kern w:val="0"/>
          <w:sz w:val="32"/>
          <w:szCs w:val="32"/>
          <w:highlight w:val="none"/>
          <w:lang w:eastAsia="zh-CN"/>
        </w:rPr>
        <w:t>一是摸排消杀提前部署。</w:t>
      </w:r>
      <w:r>
        <w:rPr>
          <w:rFonts w:hint="eastAsia" w:ascii="仿宋_GB2312" w:hAnsi="仿宋_GB2312" w:eastAsia="仿宋_GB2312" w:cs="仿宋_GB2312"/>
          <w:b w:val="0"/>
          <w:bCs w:val="0"/>
          <w:snapToGrid w:val="0"/>
          <w:kern w:val="2"/>
          <w:sz w:val="32"/>
          <w:szCs w:val="32"/>
          <w:highlight w:val="none"/>
          <w:lang w:val="en-US" w:eastAsia="zh-CN" w:bidi="ar-SA"/>
        </w:rPr>
        <w:t>疫情发生后，在上级文件未明确时第一时间重点摸排辖区企业原籍在疫情严重地区人员建立华富街道辖区企业走访排查情况台帐，主动上门宣传疫情防控知识，指导企业参照各类公共卫生防控指引和“非典”期间防控做法，前瞻性地在员工集体宿舍配置员工隔离室，公共区域深度消毒消杀，建立起必要疫情管控制度。</w:t>
      </w:r>
      <w:r>
        <w:rPr>
          <w:rFonts w:hint="eastAsia" w:ascii="仿宋_GB2312" w:hAnsi="仿宋_GB2312" w:eastAsia="仿宋_GB2312" w:cs="仿宋_GB2312"/>
          <w:b/>
          <w:bCs/>
          <w:sz w:val="32"/>
          <w:szCs w:val="32"/>
          <w:highlight w:val="none"/>
          <w:lang w:val="en-US" w:eastAsia="zh-CN"/>
        </w:rPr>
        <w:t>二是宽严相济把握执法尺度。</w:t>
      </w:r>
      <w:r>
        <w:rPr>
          <w:rFonts w:hint="eastAsia" w:ascii="仿宋_GB2312" w:hAnsi="仿宋_GB2312" w:eastAsia="仿宋_GB2312" w:cs="仿宋_GB2312"/>
          <w:b w:val="0"/>
          <w:bCs w:val="0"/>
          <w:snapToGrid w:val="0"/>
          <w:kern w:val="2"/>
          <w:sz w:val="32"/>
          <w:szCs w:val="32"/>
          <w:highlight w:val="none"/>
          <w:lang w:val="en-US" w:eastAsia="zh-CN" w:bidi="ar-SA"/>
        </w:rPr>
        <w:t>准确把握疫情防控形势和相关政策要求，按照“预先提醒、主动指导、及时纠正”等原则性要求，适当加大行政指导和行政服务等柔性化执法力度，对于依法可以不予处罚的轻微违法行为和安全隐患，责令整改的同时加强指导，做到执法与普法双结合。</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color w:val="auto"/>
          <w:kern w:val="0"/>
          <w:sz w:val="32"/>
          <w:szCs w:val="32"/>
          <w:highlight w:val="none"/>
          <w:lang w:eastAsia="zh-CN"/>
        </w:rPr>
        <w:t>是涉疫隐患妥善化解。</w:t>
      </w:r>
      <w:r>
        <w:rPr>
          <w:rFonts w:hint="eastAsia" w:ascii="仿宋_GB2312" w:hAnsi="仿宋_GB2312" w:eastAsia="仿宋_GB2312" w:cs="仿宋_GB2312"/>
          <w:b w:val="0"/>
          <w:bCs w:val="0"/>
          <w:snapToGrid w:val="0"/>
          <w:kern w:val="2"/>
          <w:sz w:val="32"/>
          <w:szCs w:val="32"/>
          <w:highlight w:val="none"/>
          <w:lang w:val="en-US" w:eastAsia="zh-CN" w:bidi="ar-SA"/>
        </w:rPr>
        <w:t>及时调整人员分工，加大力度化解涉疫隐患，助力复工复产，为辖区疫情防控创造和谐稳定的环境。按照特事特办要求优先处理涉及疫情的各类投诉问题近300件，全部当天办结；依法有效处置疫情防控措施引发的矛盾，及时化解小区因封闭管理引发的各类纠纷；加强对租赁纠纷、合同纠纷等突出矛盾问题的排查化解，累计组织各类协调会30余次。</w:t>
      </w:r>
    </w:p>
    <w:p w14:paraId="487EC1C0">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cs="楷体"/>
          <w:color w:val="auto"/>
          <w:sz w:val="32"/>
          <w:szCs w:val="32"/>
          <w:highlight w:val="none"/>
          <w:shd w:val="clear" w:color="auto" w:fill="FFFFFF"/>
          <w:lang w:eastAsia="zh-CN"/>
        </w:rPr>
      </w:pPr>
      <w:r>
        <w:rPr>
          <w:rFonts w:hint="eastAsia" w:ascii="楷体" w:hAnsi="楷体" w:eastAsia="楷体" w:cs="楷体"/>
          <w:color w:val="auto"/>
          <w:sz w:val="32"/>
          <w:szCs w:val="32"/>
          <w:highlight w:val="none"/>
          <w:shd w:val="clear" w:color="auto" w:fill="FFFFFF"/>
          <w:lang w:eastAsia="zh-CN"/>
        </w:rPr>
        <w:t>多元机制化解矛盾，社会环境稳定和谐</w:t>
      </w:r>
    </w:p>
    <w:p w14:paraId="66C0C03C">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b w:val="0"/>
          <w:bCs w:val="0"/>
          <w:snapToGrid w:val="0"/>
          <w:kern w:val="2"/>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eastAsia="zh-CN"/>
        </w:rPr>
        <w:t>一是矛盾纠纷化解机制更加健全。</w:t>
      </w:r>
      <w:r>
        <w:rPr>
          <w:rFonts w:hint="eastAsia" w:ascii="仿宋_GB2312" w:hAnsi="仿宋_GB2312" w:eastAsia="仿宋_GB2312" w:cs="仿宋_GB2312"/>
          <w:b w:val="0"/>
          <w:bCs w:val="0"/>
          <w:snapToGrid w:val="0"/>
          <w:kern w:val="2"/>
          <w:sz w:val="32"/>
          <w:szCs w:val="32"/>
          <w:highlight w:val="none"/>
          <w:lang w:val="en-US" w:eastAsia="zh-CN" w:bidi="ar-SA"/>
        </w:rPr>
        <w:t>依托街道综治中心平台，建立完善访调对接机制，驻点律师、心理咨询师全程参与接访，提供专业支持，实现一个平台受理诉求、一套流程调解到底。</w:t>
      </w:r>
      <w:r>
        <w:rPr>
          <w:rFonts w:hint="eastAsia" w:ascii="仿宋_GB2312" w:hAnsi="仿宋_GB2312" w:eastAsia="仿宋_GB2312" w:cs="仿宋_GB2312"/>
          <w:b/>
          <w:bCs/>
          <w:sz w:val="32"/>
          <w:szCs w:val="32"/>
          <w:highlight w:val="none"/>
          <w:lang w:val="en-US" w:eastAsia="zh-CN"/>
        </w:rPr>
        <w:t>二是社区化解纠纷力量更加专业。</w:t>
      </w:r>
      <w:r>
        <w:rPr>
          <w:rFonts w:hint="eastAsia" w:ascii="仿宋_GB2312" w:hAnsi="仿宋_GB2312" w:eastAsia="仿宋_GB2312" w:cs="仿宋_GB2312"/>
          <w:b w:val="0"/>
          <w:bCs w:val="0"/>
          <w:snapToGrid w:val="0"/>
          <w:kern w:val="2"/>
          <w:sz w:val="32"/>
          <w:szCs w:val="32"/>
          <w:highlight w:val="none"/>
          <w:lang w:val="en-US" w:eastAsia="zh-CN" w:bidi="ar-SA"/>
        </w:rPr>
        <w:t>整合综治、信访、司法工作力量，分片包干，力量下沉，加强对社区接访、调解、突发事件处置的指导，进一步提升社区综治中心处置化解纠纷的能力。截至11月30日，街道、各社区累计接访处理各类矛盾纠纷520宗，成功化解500宗，化解成功率96.2%，基本实现小事不出社区、大事不出街道</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bCs/>
          <w:color w:val="auto"/>
          <w:kern w:val="0"/>
          <w:sz w:val="32"/>
          <w:szCs w:val="32"/>
          <w:highlight w:val="none"/>
        </w:rPr>
        <w:t>访前调解工作</w:t>
      </w:r>
      <w:r>
        <w:rPr>
          <w:rFonts w:hint="eastAsia" w:ascii="仿宋_GB2312" w:hAnsi="仿宋_GB2312" w:eastAsia="仿宋_GB2312" w:cs="仿宋_GB2312"/>
          <w:b/>
          <w:bCs/>
          <w:color w:val="auto"/>
          <w:kern w:val="0"/>
          <w:sz w:val="32"/>
          <w:szCs w:val="32"/>
          <w:highlight w:val="none"/>
          <w:lang w:eastAsia="zh-CN"/>
        </w:rPr>
        <w:t>更加顺畅。</w:t>
      </w:r>
      <w:r>
        <w:rPr>
          <w:rFonts w:hint="eastAsia" w:ascii="仿宋_GB2312" w:hAnsi="仿宋_GB2312" w:eastAsia="仿宋_GB2312" w:cs="仿宋_GB2312"/>
          <w:b w:val="0"/>
          <w:bCs w:val="0"/>
          <w:snapToGrid w:val="0"/>
          <w:kern w:val="2"/>
          <w:sz w:val="32"/>
          <w:szCs w:val="32"/>
          <w:highlight w:val="none"/>
          <w:lang w:val="en-US" w:eastAsia="zh-CN" w:bidi="ar-SA"/>
        </w:rPr>
        <w:t>街道综合治理办、劳动保障所、派出所等相关部门联动，对符合人民调解的上访事项，提前介入调解，确保辖区和谐稳定。截至11月30日，街道各级调解组织共处理人民调解案件923宗，涉及金额3599万元，成功调解835宗，调解成功率90.5%。</w:t>
      </w:r>
      <w:r>
        <w:rPr>
          <w:rFonts w:hint="eastAsia" w:ascii="仿宋_GB2312" w:hAnsi="仿宋" w:eastAsia="仿宋_GB2312"/>
          <w:b/>
          <w:bCs/>
          <w:sz w:val="32"/>
          <w:szCs w:val="32"/>
          <w:highlight w:val="none"/>
          <w:lang w:eastAsia="zh-CN"/>
        </w:rPr>
        <w:t>四是</w:t>
      </w:r>
      <w:r>
        <w:rPr>
          <w:rFonts w:hint="eastAsia" w:ascii="仿宋_GB2312" w:hAnsi="仿宋_GB2312" w:eastAsia="仿宋_GB2312" w:cs="仿宋_GB2312"/>
          <w:b/>
          <w:bCs/>
          <w:color w:val="auto"/>
          <w:kern w:val="0"/>
          <w:sz w:val="32"/>
          <w:szCs w:val="32"/>
          <w:highlight w:val="none"/>
          <w:lang w:eastAsia="zh-CN"/>
        </w:rPr>
        <w:t>基层社会治理更具活力。</w:t>
      </w:r>
      <w:r>
        <w:rPr>
          <w:rFonts w:hint="eastAsia" w:ascii="仿宋_GB2312" w:hAnsi="仿宋_GB2312" w:eastAsia="仿宋_GB2312" w:cs="仿宋_GB2312"/>
          <w:b w:val="0"/>
          <w:bCs w:val="0"/>
          <w:snapToGrid w:val="0"/>
          <w:kern w:val="2"/>
          <w:sz w:val="32"/>
          <w:szCs w:val="32"/>
          <w:highlight w:val="none"/>
          <w:lang w:val="en-US" w:eastAsia="zh-CN" w:bidi="ar-SA"/>
        </w:rPr>
        <w:t>引导鼓励社区居民、社会组织、物业服务企业参与矛盾纠纷化解和社区治理。健全完善群防群治制度，组建义警队伍开展治安大巡逻大防控行动，进一步拓宽群防群治领域，源头上加强社会治安治理。全面推进“城中村”综合治理工作，从社会治理、民生服务、城市管理、城市安全等多角度着手，综合提升田面村整体环境，从根源上铲除黑恶势力滋生的土壤。2018年以来辖区治安总警情逐年下降，2018年治安警情365起，同比下降14.92%；2019年治安警情280起，同比下降23.29%；2020年1-11月治安警情228起，社会治安形势持续向好。</w:t>
      </w:r>
    </w:p>
    <w:p w14:paraId="28F7F87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二、</w:t>
      </w:r>
      <w:r>
        <w:rPr>
          <w:rFonts w:hint="eastAsia" w:ascii="黑体" w:hAnsi="黑体" w:eastAsia="黑体" w:cs="黑体"/>
          <w:color w:val="auto"/>
          <w:kern w:val="0"/>
          <w:sz w:val="32"/>
          <w:szCs w:val="32"/>
          <w:highlight w:val="none"/>
          <w:lang w:eastAsia="zh-CN"/>
        </w:rPr>
        <w:t>主要做法</w:t>
      </w:r>
    </w:p>
    <w:p w14:paraId="20DAB85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480" w:leftChars="0" w:right="0" w:rightChars="0"/>
        <w:textAlignment w:val="auto"/>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（一）加强组织领导，全面推进依法行政工作</w:t>
      </w:r>
    </w:p>
    <w:p w14:paraId="175DB34B">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街道党工委高度重视依法行政工作，加强党委对法治政府建设的组织领导，明确目标，围绕重点，确保依法行政工作顺利开展。街道成立了以党工委书记为组长的法治建设领导小组，全面负责街道的法治政府建设工作。年初召开法治政府建设工作</w:t>
      </w:r>
      <w:r>
        <w:rPr>
          <w:rFonts w:hint="eastAsia" w:ascii="仿宋_GB2312" w:hAnsi="仿宋_GB2312" w:eastAsia="仿宋_GB2312" w:cs="仿宋_GB2312"/>
          <w:color w:val="auto"/>
          <w:kern w:val="0"/>
          <w:sz w:val="32"/>
          <w:szCs w:val="32"/>
          <w:highlight w:val="none"/>
          <w:lang w:eastAsia="zh-CN"/>
        </w:rPr>
        <w:t>会议</w:t>
      </w:r>
      <w:r>
        <w:rPr>
          <w:rFonts w:hint="eastAsia" w:ascii="仿宋_GB2312" w:hAnsi="仿宋_GB2312" w:eastAsia="仿宋_GB2312" w:cs="仿宋_GB2312"/>
          <w:color w:val="auto"/>
          <w:kern w:val="0"/>
          <w:sz w:val="32"/>
          <w:szCs w:val="32"/>
          <w:highlight w:val="none"/>
        </w:rPr>
        <w:t>对全年法治政府建设</w:t>
      </w:r>
      <w:r>
        <w:rPr>
          <w:rFonts w:hint="eastAsia" w:ascii="仿宋_GB2312" w:hAnsi="仿宋_GB2312" w:eastAsia="仿宋_GB2312" w:cs="仿宋_GB2312"/>
          <w:color w:val="auto"/>
          <w:sz w:val="32"/>
          <w:szCs w:val="32"/>
          <w:highlight w:val="none"/>
          <w:shd w:val="clear" w:color="auto" w:fill="FFFFFF"/>
        </w:rPr>
        <w:t>进行全面部署，明确工作思路，提出具体的措施和要求；结合《福田区</w:t>
      </w:r>
      <w:r>
        <w:rPr>
          <w:rFonts w:hint="eastAsia" w:ascii="仿宋_GB2312" w:hAnsi="仿宋_GB2312" w:eastAsia="仿宋_GB2312" w:cs="仿宋_GB2312"/>
          <w:color w:val="auto"/>
          <w:sz w:val="32"/>
          <w:szCs w:val="32"/>
          <w:highlight w:val="none"/>
          <w:shd w:val="clear" w:color="auto" w:fill="FFFFFF"/>
          <w:lang w:eastAsia="zh-CN"/>
        </w:rPr>
        <w:t>2020</w:t>
      </w:r>
      <w:r>
        <w:rPr>
          <w:rFonts w:hint="eastAsia" w:ascii="仿宋_GB2312" w:hAnsi="仿宋_GB2312" w:eastAsia="仿宋_GB2312" w:cs="仿宋_GB2312"/>
          <w:color w:val="auto"/>
          <w:sz w:val="32"/>
          <w:szCs w:val="32"/>
          <w:highlight w:val="none"/>
          <w:shd w:val="clear" w:color="auto" w:fill="FFFFFF"/>
        </w:rPr>
        <w:t>年法治政府建设指标》及《福田区</w:t>
      </w:r>
      <w:r>
        <w:rPr>
          <w:rFonts w:hint="eastAsia" w:ascii="仿宋_GB2312" w:hAnsi="仿宋_GB2312" w:eastAsia="仿宋_GB2312" w:cs="仿宋_GB2312"/>
          <w:color w:val="auto"/>
          <w:sz w:val="32"/>
          <w:szCs w:val="32"/>
          <w:highlight w:val="none"/>
          <w:shd w:val="clear" w:color="auto" w:fill="FFFFFF"/>
          <w:lang w:eastAsia="zh-CN"/>
        </w:rPr>
        <w:t>2020</w:t>
      </w:r>
      <w:r>
        <w:rPr>
          <w:rFonts w:hint="eastAsia" w:ascii="仿宋_GB2312" w:hAnsi="仿宋_GB2312" w:eastAsia="仿宋_GB2312" w:cs="仿宋_GB2312"/>
          <w:color w:val="auto"/>
          <w:sz w:val="32"/>
          <w:szCs w:val="32"/>
          <w:highlight w:val="none"/>
          <w:shd w:val="clear" w:color="auto" w:fill="FFFFFF"/>
        </w:rPr>
        <w:t>年法治政府建设示范创建工作方案》，</w:t>
      </w:r>
      <w:r>
        <w:rPr>
          <w:rFonts w:hint="eastAsia" w:ascii="仿宋_GB2312" w:hAnsi="仿宋_GB2312" w:eastAsia="仿宋_GB2312" w:cs="仿宋_GB2312"/>
          <w:color w:val="auto"/>
          <w:kern w:val="0"/>
          <w:sz w:val="32"/>
          <w:szCs w:val="32"/>
          <w:highlight w:val="none"/>
        </w:rPr>
        <w:t>多次召开工作推进会，及时掌握各项工作落实情况。</w:t>
      </w:r>
    </w:p>
    <w:p w14:paraId="03EEF7F7">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jc w:val="left"/>
        <w:textAlignment w:val="auto"/>
        <w:outlineLvl w:val="9"/>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（二）加强制度建设，夯实依法行政工作基础</w:t>
      </w:r>
    </w:p>
    <w:p w14:paraId="08860DB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r>
        <w:rPr>
          <w:rFonts w:hint="eastAsia" w:ascii="仿宋_GB2312" w:hAnsi="仿宋_GB2312" w:eastAsia="仿宋_GB2312" w:cs="仿宋_GB2312"/>
          <w:color w:val="auto"/>
          <w:kern w:val="0"/>
          <w:sz w:val="32"/>
          <w:szCs w:val="32"/>
          <w:highlight w:val="none"/>
          <w:lang w:eastAsia="zh-CN"/>
        </w:rPr>
        <w:t>华富</w:t>
      </w:r>
      <w:r>
        <w:rPr>
          <w:rFonts w:hint="eastAsia" w:ascii="仿宋_GB2312" w:hAnsi="仿宋_GB2312" w:eastAsia="仿宋_GB2312" w:cs="仿宋_GB2312"/>
          <w:color w:val="auto"/>
          <w:kern w:val="0"/>
          <w:sz w:val="32"/>
          <w:szCs w:val="32"/>
          <w:highlight w:val="none"/>
        </w:rPr>
        <w:t>街道积极推进制度建设，坚持“合法性、科学性、实效性”原则，着力完善政府制度体系，不断提高制度执行力，为推进依法行政、建设法治政府提供制度保障。</w:t>
      </w:r>
      <w:r>
        <w:rPr>
          <w:rFonts w:hint="eastAsia" w:ascii="仿宋_GB2312" w:hAnsi="仿宋_GB2312" w:eastAsia="仿宋_GB2312" w:cs="仿宋_GB2312"/>
          <w:b/>
          <w:bCs/>
          <w:color w:val="auto"/>
          <w:kern w:val="0"/>
          <w:sz w:val="32"/>
          <w:szCs w:val="32"/>
          <w:highlight w:val="none"/>
        </w:rPr>
        <w:t>一是合法性。</w:t>
      </w:r>
      <w:r>
        <w:rPr>
          <w:rFonts w:hint="eastAsia" w:ascii="仿宋_GB2312" w:hAnsi="仿宋_GB2312" w:eastAsia="仿宋_GB2312" w:cs="仿宋_GB2312"/>
          <w:color w:val="auto"/>
          <w:kern w:val="0"/>
          <w:sz w:val="32"/>
          <w:szCs w:val="32"/>
          <w:highlight w:val="none"/>
        </w:rPr>
        <w:t>街道坚持问题导向，进一步深化法制专员工作机制，充分发挥法制专员在推进法治建设中参谋、增效、监督、保障的重要作用，充分贯彻省、市、区各级的指示精神，把党中央厉行法治及“全面推行依法治国”重大战略部署落到实处。</w:t>
      </w:r>
      <w:r>
        <w:rPr>
          <w:rFonts w:hint="eastAsia" w:ascii="仿宋_GB2312" w:hAnsi="仿宋_GB2312" w:eastAsia="仿宋_GB2312" w:cs="仿宋_GB2312"/>
          <w:b/>
          <w:bCs/>
          <w:color w:val="auto"/>
          <w:kern w:val="0"/>
          <w:sz w:val="32"/>
          <w:szCs w:val="32"/>
          <w:highlight w:val="none"/>
        </w:rPr>
        <w:t>二是科学性。</w:t>
      </w:r>
      <w:r>
        <w:rPr>
          <w:rFonts w:hint="eastAsia" w:ascii="仿宋_GB2312" w:hAnsi="仿宋_GB2312" w:eastAsia="仿宋_GB2312" w:cs="仿宋_GB2312"/>
          <w:color w:val="auto"/>
          <w:kern w:val="0"/>
          <w:sz w:val="32"/>
          <w:szCs w:val="32"/>
          <w:highlight w:val="none"/>
        </w:rPr>
        <w:t>在出台各类制度规定时，坚持科学性，充分开展调查研究，广泛征求意见，兼顾社会各方面特别是困难群体的利益；坚持可操作性，解决好制度用来管什么、谁来执行监督、违反制度怎么办等问题，形成层次分明、职责清晰的制度体系。</w:t>
      </w:r>
      <w:r>
        <w:rPr>
          <w:rFonts w:hint="eastAsia" w:ascii="仿宋_GB2312" w:hAnsi="仿宋_GB2312" w:eastAsia="仿宋_GB2312" w:cs="仿宋_GB2312"/>
          <w:b/>
          <w:bCs/>
          <w:color w:val="auto"/>
          <w:kern w:val="0"/>
          <w:sz w:val="32"/>
          <w:szCs w:val="32"/>
          <w:highlight w:val="none"/>
        </w:rPr>
        <w:t>三是实效性。</w:t>
      </w:r>
      <w:r>
        <w:rPr>
          <w:rFonts w:hint="eastAsia" w:ascii="仿宋_GB2312" w:hAnsi="仿宋_GB2312" w:eastAsia="仿宋_GB2312" w:cs="仿宋_GB2312"/>
          <w:bCs/>
          <w:color w:val="auto"/>
          <w:kern w:val="0"/>
          <w:sz w:val="32"/>
          <w:szCs w:val="32"/>
          <w:highlight w:val="none"/>
        </w:rPr>
        <w:t>今年来，</w:t>
      </w:r>
      <w:r>
        <w:rPr>
          <w:rFonts w:hint="eastAsia" w:ascii="仿宋_GB2312" w:hAnsi="仿宋_GB2312" w:eastAsia="仿宋_GB2312" w:cs="仿宋_GB2312"/>
          <w:color w:val="auto"/>
          <w:kern w:val="0"/>
          <w:sz w:val="32"/>
          <w:szCs w:val="32"/>
          <w:highlight w:val="none"/>
        </w:rPr>
        <w:t>主要围绕重点、难点工作建立健全规章制度，以制度促进工作落实。通过积极完善各项管理机制，认真规范执法行为，确保有关行政处罚工作及时准确，使街道各类行政执法工作制度化、程序化、规范化。 </w:t>
      </w:r>
    </w:p>
    <w:p w14:paraId="15A38D0D">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jc w:val="left"/>
        <w:textAlignment w:val="auto"/>
        <w:outlineLvl w:val="9"/>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（三）</w:t>
      </w:r>
      <w:r>
        <w:rPr>
          <w:rFonts w:hint="eastAsia" w:ascii="楷体" w:hAnsi="楷体" w:eastAsia="楷体" w:cs="楷体"/>
          <w:color w:val="auto"/>
          <w:kern w:val="0"/>
          <w:sz w:val="32"/>
          <w:szCs w:val="32"/>
          <w:highlight w:val="none"/>
          <w:lang w:eastAsia="zh-CN"/>
        </w:rPr>
        <w:t>重大决策</w:t>
      </w:r>
      <w:r>
        <w:rPr>
          <w:rFonts w:hint="eastAsia" w:ascii="楷体" w:hAnsi="楷体" w:eastAsia="楷体" w:cs="楷体"/>
          <w:color w:val="auto"/>
          <w:kern w:val="0"/>
          <w:sz w:val="32"/>
          <w:szCs w:val="32"/>
          <w:highlight w:val="none"/>
        </w:rPr>
        <w:t>法治化，源头保障依法行政</w:t>
      </w:r>
    </w:p>
    <w:p w14:paraId="75F20330">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w:t>
      </w:r>
      <w:r>
        <w:rPr>
          <w:rFonts w:hint="eastAsia" w:ascii="仿宋_GB2312" w:hAnsi="仿宋_GB2312" w:eastAsia="仿宋_GB2312" w:cs="仿宋_GB2312"/>
          <w:color w:val="auto"/>
          <w:kern w:val="0"/>
          <w:sz w:val="32"/>
          <w:szCs w:val="32"/>
          <w:highlight w:val="none"/>
          <w:lang w:eastAsia="zh-CN"/>
        </w:rPr>
        <w:t>近年来，华富</w:t>
      </w:r>
      <w:r>
        <w:rPr>
          <w:rFonts w:hint="eastAsia" w:ascii="仿宋_GB2312" w:hAnsi="仿宋_GB2312" w:eastAsia="仿宋_GB2312" w:cs="仿宋_GB2312"/>
          <w:color w:val="auto"/>
          <w:kern w:val="0"/>
          <w:sz w:val="32"/>
          <w:szCs w:val="32"/>
          <w:highlight w:val="none"/>
        </w:rPr>
        <w:t>街道</w:t>
      </w:r>
      <w:r>
        <w:rPr>
          <w:rFonts w:hint="eastAsia" w:ascii="仿宋_GB2312" w:hAnsi="仿宋_GB2312" w:eastAsia="仿宋_GB2312" w:cs="仿宋_GB2312"/>
          <w:color w:val="auto"/>
          <w:kern w:val="0"/>
          <w:sz w:val="32"/>
          <w:szCs w:val="32"/>
          <w:highlight w:val="none"/>
          <w:lang w:eastAsia="zh-CN"/>
        </w:rPr>
        <w:t>在</w:t>
      </w:r>
      <w:r>
        <w:rPr>
          <w:rFonts w:hint="eastAsia" w:ascii="仿宋_GB2312" w:hAnsi="仿宋_GB2312" w:eastAsia="仿宋_GB2312" w:cs="仿宋_GB2312"/>
          <w:color w:val="auto"/>
          <w:kern w:val="0"/>
          <w:sz w:val="32"/>
          <w:szCs w:val="32"/>
          <w:highlight w:val="none"/>
        </w:rPr>
        <w:t>重大行政决策、政策文件制定、会议议事等各个方面制定相关制度，形成了较为完善的政府工作制度体系，不断推进行政决策民主化、科学化、规范化。</w:t>
      </w:r>
      <w:r>
        <w:rPr>
          <w:rFonts w:hint="eastAsia" w:ascii="仿宋_GB2312" w:hAnsi="仿宋_GB2312" w:eastAsia="仿宋_GB2312" w:cs="仿宋_GB2312"/>
          <w:b/>
          <w:bCs/>
          <w:color w:val="auto"/>
          <w:kern w:val="0"/>
          <w:sz w:val="32"/>
          <w:szCs w:val="32"/>
          <w:highlight w:val="none"/>
        </w:rPr>
        <w:t>一是</w:t>
      </w:r>
      <w:r>
        <w:rPr>
          <w:rFonts w:hint="eastAsia" w:ascii="仿宋_GB2312" w:hAnsi="仿宋_GB2312" w:eastAsia="仿宋_GB2312" w:cs="仿宋_GB2312"/>
          <w:bCs/>
          <w:color w:val="auto"/>
          <w:kern w:val="0"/>
          <w:sz w:val="32"/>
          <w:szCs w:val="32"/>
          <w:highlight w:val="none"/>
        </w:rPr>
        <w:t>完善行政决策规则和程序</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贯彻落实市、区关于加强科学决策、民主决策的要求，充分发挥党工委集体领导作用，坚持集体决策、依法决策，完善《华富街道行政决策议事规则与范围》、《华富街道行政决策规范程序》和《华富街道重大问题议事规程》，重大行政决策由街道</w:t>
      </w:r>
      <w:r>
        <w:rPr>
          <w:rFonts w:hint="eastAsia" w:ascii="仿宋_GB2312" w:hAnsi="仿宋_GB2312" w:eastAsia="仿宋_GB2312" w:cs="仿宋_GB2312"/>
          <w:color w:val="auto"/>
          <w:kern w:val="0"/>
          <w:sz w:val="32"/>
          <w:szCs w:val="32"/>
          <w:highlight w:val="none"/>
          <w:lang w:eastAsia="zh-CN"/>
        </w:rPr>
        <w:t>班子</w:t>
      </w:r>
      <w:r>
        <w:rPr>
          <w:rFonts w:hint="eastAsia" w:ascii="仿宋_GB2312" w:hAnsi="仿宋_GB2312" w:eastAsia="仿宋_GB2312" w:cs="仿宋_GB2312"/>
          <w:color w:val="auto"/>
          <w:kern w:val="0"/>
          <w:sz w:val="32"/>
          <w:szCs w:val="32"/>
          <w:highlight w:val="none"/>
        </w:rPr>
        <w:t>集体讨论决定，以保证决策的合法性。</w:t>
      </w:r>
      <w:r>
        <w:rPr>
          <w:rFonts w:hint="eastAsia" w:ascii="仿宋_GB2312" w:hAnsi="仿宋_GB2312" w:eastAsia="仿宋_GB2312" w:cs="仿宋_GB2312"/>
          <w:color w:val="auto"/>
          <w:kern w:val="0"/>
          <w:sz w:val="32"/>
          <w:szCs w:val="32"/>
          <w:highlight w:val="none"/>
          <w:lang w:eastAsia="zh-CN"/>
        </w:rPr>
        <w:t>2020</w:t>
      </w:r>
      <w:r>
        <w:rPr>
          <w:rFonts w:hint="eastAsia" w:ascii="仿宋_GB2312" w:hAnsi="仿宋_GB2312" w:eastAsia="仿宋_GB2312" w:cs="仿宋_GB2312"/>
          <w:color w:val="auto"/>
          <w:kern w:val="0"/>
          <w:sz w:val="32"/>
          <w:szCs w:val="32"/>
          <w:highlight w:val="none"/>
        </w:rPr>
        <w:t>年以来，街道共召开党工委会议</w:t>
      </w:r>
      <w:r>
        <w:rPr>
          <w:rFonts w:hint="eastAsia" w:ascii="仿宋_GB2312" w:hAnsi="仿宋_GB2312" w:eastAsia="仿宋_GB2312" w:cs="仿宋_GB2312"/>
          <w:color w:val="auto"/>
          <w:kern w:val="0"/>
          <w:sz w:val="32"/>
          <w:szCs w:val="32"/>
          <w:highlight w:val="none"/>
          <w:lang w:val="en-US" w:eastAsia="zh-CN"/>
        </w:rPr>
        <w:t>65</w:t>
      </w:r>
      <w:r>
        <w:rPr>
          <w:rFonts w:hint="eastAsia" w:ascii="仿宋_GB2312" w:hAnsi="仿宋_GB2312" w:eastAsia="仿宋_GB2312" w:cs="仿宋_GB2312"/>
          <w:bCs/>
          <w:color w:val="auto"/>
          <w:kern w:val="0"/>
          <w:sz w:val="32"/>
          <w:szCs w:val="32"/>
          <w:highlight w:val="none"/>
          <w:lang w:val="en-US" w:eastAsia="zh-CN"/>
        </w:rPr>
        <w:t>次</w:t>
      </w:r>
      <w:r>
        <w:rPr>
          <w:rFonts w:hint="eastAsia" w:ascii="仿宋_GB2312" w:hAnsi="仿宋_GB2312" w:eastAsia="仿宋_GB2312" w:cs="仿宋_GB2312"/>
          <w:color w:val="auto"/>
          <w:kern w:val="0"/>
          <w:sz w:val="32"/>
          <w:szCs w:val="32"/>
          <w:highlight w:val="none"/>
        </w:rPr>
        <w:t>,均按要求妥善保管相关会议记录等文件。</w:t>
      </w:r>
      <w:r>
        <w:rPr>
          <w:rFonts w:hint="eastAsia" w:ascii="仿宋_GB2312" w:hAnsi="仿宋_GB2312" w:eastAsia="仿宋_GB2312" w:cs="仿宋_GB2312"/>
          <w:b/>
          <w:bCs/>
          <w:color w:val="auto"/>
          <w:kern w:val="0"/>
          <w:sz w:val="32"/>
          <w:szCs w:val="32"/>
          <w:highlight w:val="none"/>
        </w:rPr>
        <w:t>二是</w:t>
      </w:r>
      <w:r>
        <w:rPr>
          <w:rFonts w:hint="eastAsia" w:ascii="仿宋_GB2312" w:hAnsi="仿宋_GB2312" w:eastAsia="仿宋_GB2312" w:cs="仿宋_GB2312"/>
          <w:bCs/>
          <w:color w:val="auto"/>
          <w:kern w:val="0"/>
          <w:sz w:val="32"/>
          <w:szCs w:val="32"/>
          <w:highlight w:val="none"/>
        </w:rPr>
        <w:t>完善行政决策风险评估制度</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为防范决策风险，减少决策失误，街道制定了重大行政决策风险评估制度，聘请法制专员等法律专业人员对各项制度、合同和重大决策进行前置审查，通过缜密分析准确评估风险；对已制定的制度实行定期清理，根据形势变化和实践发展及时进行修改或者废止。法制专员的前置审查意见规范合理，充分提示法律风险，提出的建议可行。</w:t>
      </w:r>
      <w:r>
        <w:rPr>
          <w:rFonts w:hint="eastAsia" w:ascii="仿宋_GB2312" w:hAnsi="仿宋_GB2312" w:eastAsia="仿宋_GB2312" w:cs="仿宋_GB2312"/>
          <w:b/>
          <w:bCs/>
          <w:color w:val="auto"/>
          <w:kern w:val="0"/>
          <w:sz w:val="32"/>
          <w:szCs w:val="32"/>
          <w:highlight w:val="none"/>
        </w:rPr>
        <w:t>三是</w:t>
      </w:r>
      <w:r>
        <w:rPr>
          <w:rFonts w:hint="eastAsia" w:ascii="仿宋_GB2312" w:hAnsi="仿宋_GB2312" w:eastAsia="仿宋_GB2312" w:cs="仿宋_GB2312"/>
          <w:bCs/>
          <w:color w:val="auto"/>
          <w:kern w:val="0"/>
          <w:sz w:val="32"/>
          <w:szCs w:val="32"/>
          <w:highlight w:val="none"/>
        </w:rPr>
        <w:t>建立了行政决策听证制度</w:t>
      </w:r>
      <w:r>
        <w:rPr>
          <w:rFonts w:hint="eastAsia" w:ascii="仿宋_GB2312" w:hAnsi="仿宋_GB2312" w:eastAsia="仿宋_GB2312" w:cs="仿宋_GB2312"/>
          <w:color w:val="auto"/>
          <w:kern w:val="0"/>
          <w:sz w:val="32"/>
          <w:szCs w:val="32"/>
          <w:highlight w:val="none"/>
        </w:rPr>
        <w:t>，街道在制定涉及重大公共事项和群众切身利益的决策时，进行充分的调查研究，通过民意听证、专家论证等形式公开征求意见，提高决策的民主性，避免“拍脑袋”决策。</w:t>
      </w:r>
      <w:r>
        <w:rPr>
          <w:rFonts w:hint="eastAsia" w:ascii="仿宋_GB2312" w:hAnsi="仿宋_GB2312" w:eastAsia="仿宋_GB2312" w:cs="仿宋_GB2312"/>
          <w:b/>
          <w:bCs/>
          <w:color w:val="auto"/>
          <w:kern w:val="0"/>
          <w:sz w:val="32"/>
          <w:szCs w:val="32"/>
          <w:highlight w:val="none"/>
        </w:rPr>
        <w:t>四是</w:t>
      </w:r>
      <w:r>
        <w:rPr>
          <w:rFonts w:hint="eastAsia" w:ascii="仿宋_GB2312" w:hAnsi="仿宋_GB2312" w:eastAsia="仿宋_GB2312" w:cs="仿宋_GB2312"/>
          <w:color w:val="auto"/>
          <w:kern w:val="0"/>
          <w:sz w:val="32"/>
          <w:szCs w:val="32"/>
          <w:highlight w:val="none"/>
        </w:rPr>
        <w:t>严格政府合同管理。根据《深圳市政府合同管理规定》等要求，严格落实法制专员对合同文本的合法性审查工作。今年以来, 累计为街道各部门、各社区</w:t>
      </w:r>
      <w:r>
        <w:rPr>
          <w:rFonts w:hint="eastAsia" w:ascii="仿宋_GB2312" w:hAnsi="宋体" w:eastAsia="仿宋_GB2312"/>
          <w:kern w:val="0"/>
          <w:sz w:val="32"/>
          <w:szCs w:val="32"/>
          <w:highlight w:val="none"/>
          <w:lang w:val="en-US" w:eastAsia="zh-CN"/>
        </w:rPr>
        <w:t>905</w:t>
      </w:r>
      <w:r>
        <w:rPr>
          <w:rFonts w:hint="eastAsia" w:ascii="仿宋_GB2312" w:hAnsi="仿宋_GB2312" w:eastAsia="仿宋_GB2312" w:cs="仿宋_GB2312"/>
          <w:color w:val="auto"/>
          <w:kern w:val="0"/>
          <w:sz w:val="32"/>
          <w:szCs w:val="32"/>
          <w:highlight w:val="none"/>
        </w:rPr>
        <w:t>份采购合同进行涉法事项法律审查并出具审查意见书。为街道建立“民生微实事”项目供应商库、僵尸企业清理工作、辖区主要道路临街建筑和老旧小区建筑立面刷新项目招标等工作提供法律意见。</w:t>
      </w:r>
    </w:p>
    <w:p w14:paraId="17E3C19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30"/>
        <w:jc w:val="left"/>
        <w:textAlignment w:val="auto"/>
        <w:outlineLvl w:val="9"/>
        <w:rPr>
          <w:rFonts w:hint="eastAsia" w:ascii="楷体" w:hAnsi="楷体" w:eastAsia="楷体" w:cs="楷体"/>
          <w:color w:val="auto"/>
          <w:sz w:val="32"/>
          <w:szCs w:val="32"/>
          <w:highlight w:val="none"/>
          <w:shd w:val="clear" w:color="auto" w:fill="FFFFFF"/>
        </w:rPr>
      </w:pPr>
      <w:r>
        <w:rPr>
          <w:rFonts w:hint="eastAsia" w:ascii="楷体" w:hAnsi="楷体" w:eastAsia="楷体" w:cs="楷体"/>
          <w:color w:val="auto"/>
          <w:sz w:val="32"/>
          <w:szCs w:val="32"/>
          <w:highlight w:val="none"/>
          <w:shd w:val="clear" w:color="auto" w:fill="FFFFFF"/>
        </w:rPr>
        <w:t>（</w:t>
      </w:r>
      <w:r>
        <w:rPr>
          <w:rFonts w:hint="eastAsia" w:ascii="楷体" w:hAnsi="楷体" w:eastAsia="楷体" w:cs="楷体"/>
          <w:color w:val="auto"/>
          <w:sz w:val="32"/>
          <w:szCs w:val="32"/>
          <w:highlight w:val="none"/>
          <w:shd w:val="clear" w:color="auto" w:fill="FFFFFF"/>
          <w:lang w:eastAsia="zh-CN"/>
        </w:rPr>
        <w:t>四</w:t>
      </w:r>
      <w:r>
        <w:rPr>
          <w:rFonts w:hint="eastAsia" w:ascii="楷体" w:hAnsi="楷体" w:eastAsia="楷体" w:cs="楷体"/>
          <w:color w:val="auto"/>
          <w:sz w:val="32"/>
          <w:szCs w:val="32"/>
          <w:highlight w:val="none"/>
          <w:shd w:val="clear" w:color="auto" w:fill="FFFFFF"/>
        </w:rPr>
        <w:t>）依法接受行政监督，提升行政管理和服务水平</w:t>
      </w:r>
    </w:p>
    <w:p w14:paraId="1B4B3F45">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5"/>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一是</w:t>
      </w:r>
      <w:r>
        <w:rPr>
          <w:rFonts w:hint="eastAsia" w:ascii="仿宋_GB2312" w:hAnsi="仿宋_GB2312" w:eastAsia="仿宋_GB2312" w:cs="仿宋_GB2312"/>
          <w:color w:val="auto"/>
          <w:kern w:val="0"/>
          <w:sz w:val="32"/>
          <w:szCs w:val="32"/>
          <w:highlight w:val="none"/>
        </w:rPr>
        <w:t>将信息公开作为促进依法办事的重要抓手。</w:t>
      </w:r>
      <w:r>
        <w:rPr>
          <w:rFonts w:hint="eastAsia" w:ascii="仿宋_GB2312" w:hAnsi="仿宋_GB2312" w:eastAsia="仿宋_GB2312" w:cs="仿宋_GB2312"/>
          <w:bCs/>
          <w:color w:val="auto"/>
          <w:kern w:val="0"/>
          <w:sz w:val="32"/>
          <w:szCs w:val="32"/>
          <w:highlight w:val="none"/>
        </w:rPr>
        <w:t>完善“权责清单”，坚持依法、依规、依程序办理各项业务。</w:t>
      </w:r>
      <w:r>
        <w:rPr>
          <w:rFonts w:hint="eastAsia" w:ascii="仿宋_GB2312" w:hAnsi="仿宋_GB2312" w:eastAsia="仿宋_GB2312" w:cs="仿宋_GB2312"/>
          <w:color w:val="auto"/>
          <w:kern w:val="0"/>
          <w:sz w:val="32"/>
          <w:szCs w:val="32"/>
          <w:highlight w:val="none"/>
        </w:rPr>
        <w:t>在福田政府在线网站明确公布街道的职权、部门设置等信息，实现组织、职能、工作程序的法定化。推进窗口服务信息公开、落实责任，提高行政服务效率和服务质量。依托街道行政服务大厅，公开服务项目、内容、办事指南、法规政策、办事程序、投诉电话等内容，切实做到依法依规依程序办理。</w:t>
      </w:r>
      <w:r>
        <w:rPr>
          <w:rFonts w:hint="eastAsia" w:ascii="仿宋_GB2312" w:hAnsi="仿宋_GB2312" w:eastAsia="仿宋_GB2312" w:cs="仿宋_GB2312"/>
          <w:b/>
          <w:bCs/>
          <w:color w:val="auto"/>
          <w:kern w:val="0"/>
          <w:sz w:val="32"/>
          <w:szCs w:val="32"/>
          <w:highlight w:val="none"/>
        </w:rPr>
        <w:t>二是</w:t>
      </w:r>
      <w:r>
        <w:rPr>
          <w:rFonts w:hint="eastAsia" w:ascii="仿宋_GB2312" w:hAnsi="仿宋_GB2312" w:eastAsia="仿宋_GB2312" w:cs="仿宋_GB2312"/>
          <w:color w:val="auto"/>
          <w:sz w:val="32"/>
          <w:szCs w:val="32"/>
          <w:highlight w:val="none"/>
          <w:shd w:val="clear" w:color="auto" w:fill="FFFFFF"/>
        </w:rPr>
        <w:t>严格执行行政应诉工作。</w:t>
      </w:r>
      <w:r>
        <w:rPr>
          <w:rFonts w:hint="eastAsia" w:ascii="仿宋_GB2312" w:hAnsi="仿宋_GB2312" w:eastAsia="仿宋_GB2312" w:cs="仿宋_GB2312"/>
          <w:color w:val="auto"/>
          <w:kern w:val="0"/>
          <w:sz w:val="32"/>
          <w:szCs w:val="32"/>
          <w:highlight w:val="none"/>
          <w:lang w:eastAsia="zh-CN"/>
        </w:rPr>
        <w:t>2020</w:t>
      </w:r>
      <w:r>
        <w:rPr>
          <w:rFonts w:hint="eastAsia" w:ascii="仿宋_GB2312" w:hAnsi="仿宋_GB2312" w:eastAsia="仿宋_GB2312" w:cs="仿宋_GB2312"/>
          <w:color w:val="auto"/>
          <w:kern w:val="0"/>
          <w:sz w:val="32"/>
          <w:szCs w:val="32"/>
          <w:highlight w:val="none"/>
        </w:rPr>
        <w:t>年以来，</w:t>
      </w:r>
      <w:r>
        <w:rPr>
          <w:rFonts w:hint="eastAsia" w:ascii="仿宋_GB2312" w:hAnsi="仿宋_GB2312" w:eastAsia="仿宋_GB2312" w:cs="仿宋_GB2312"/>
          <w:color w:val="auto"/>
          <w:kern w:val="0"/>
          <w:sz w:val="32"/>
          <w:szCs w:val="32"/>
          <w:highlight w:val="none"/>
          <w:lang w:eastAsia="zh-CN"/>
        </w:rPr>
        <w:t>华富</w:t>
      </w:r>
      <w:r>
        <w:rPr>
          <w:rFonts w:hint="eastAsia" w:ascii="仿宋_GB2312" w:hAnsi="仿宋_GB2312" w:eastAsia="仿宋_GB2312" w:cs="仿宋_GB2312"/>
          <w:color w:val="auto"/>
          <w:kern w:val="0"/>
          <w:sz w:val="32"/>
          <w:szCs w:val="32"/>
          <w:highlight w:val="none"/>
        </w:rPr>
        <w:t>街道确保了行政处罚案件高质量、行政执法高水平，实现行政诉讼、行政复议案件“零发生”，展现了依法行政和文明执法的良好形象。</w:t>
      </w:r>
      <w:r>
        <w:rPr>
          <w:rFonts w:hint="eastAsia" w:ascii="仿宋_GB2312" w:hAnsi="仿宋_GB2312" w:eastAsia="仿宋_GB2312" w:cs="仿宋_GB2312"/>
          <w:b/>
          <w:bCs/>
          <w:color w:val="auto"/>
          <w:kern w:val="0"/>
          <w:sz w:val="32"/>
          <w:szCs w:val="32"/>
          <w:highlight w:val="none"/>
        </w:rPr>
        <w:t>三是</w:t>
      </w:r>
      <w:r>
        <w:rPr>
          <w:rFonts w:hint="eastAsia" w:ascii="仿宋_GB2312" w:hAnsi="仿宋_GB2312" w:eastAsia="仿宋_GB2312" w:cs="仿宋_GB2312"/>
          <w:bCs/>
          <w:color w:val="auto"/>
          <w:kern w:val="0"/>
          <w:sz w:val="32"/>
          <w:szCs w:val="32"/>
          <w:highlight w:val="none"/>
        </w:rPr>
        <w:t>自觉接受区人大、政协的监督。</w:t>
      </w:r>
      <w:r>
        <w:rPr>
          <w:rFonts w:hint="eastAsia" w:ascii="仿宋_GB2312" w:hAnsi="仿宋_GB2312" w:eastAsia="仿宋_GB2312" w:cs="仿宋_GB2312"/>
          <w:color w:val="auto"/>
          <w:kern w:val="0"/>
          <w:sz w:val="32"/>
          <w:szCs w:val="32"/>
          <w:highlight w:val="none"/>
        </w:rPr>
        <w:t>强化人大代表、政协委员对街道行政行为的监督、检查和指导，保障群众的参与权、知情权和监督权。 </w:t>
      </w:r>
    </w:p>
    <w:p w14:paraId="36E76A4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30"/>
        <w:jc w:val="left"/>
        <w:textAlignment w:val="auto"/>
        <w:outlineLvl w:val="9"/>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eastAsia="zh-CN"/>
        </w:rPr>
        <w:t>三</w:t>
      </w:r>
      <w:r>
        <w:rPr>
          <w:rFonts w:hint="eastAsia" w:ascii="黑体" w:hAnsi="黑体" w:eastAsia="黑体" w:cs="黑体"/>
          <w:color w:val="auto"/>
          <w:sz w:val="32"/>
          <w:szCs w:val="32"/>
          <w:highlight w:val="none"/>
          <w:shd w:val="clear" w:color="auto" w:fill="FFFFFF"/>
        </w:rPr>
        <w:t>、存在问题及</w:t>
      </w:r>
      <w:r>
        <w:rPr>
          <w:rFonts w:hint="eastAsia" w:ascii="黑体" w:hAnsi="黑体" w:eastAsia="黑体" w:cs="黑体"/>
          <w:color w:val="auto"/>
          <w:sz w:val="32"/>
          <w:szCs w:val="32"/>
          <w:highlight w:val="none"/>
          <w:shd w:val="clear" w:color="auto" w:fill="FFFFFF"/>
          <w:lang w:val="en-US" w:eastAsia="zh-CN"/>
        </w:rPr>
        <w:t>下一步工作计划</w:t>
      </w:r>
    </w:p>
    <w:p w14:paraId="662A1C90">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30"/>
        <w:jc w:val="left"/>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auto"/>
          <w:lang w:val="en-US" w:eastAsia="zh-CN"/>
        </w:rPr>
        <w:t>2020年，</w:t>
      </w:r>
      <w:r>
        <w:rPr>
          <w:rFonts w:hint="eastAsia" w:ascii="仿宋_GB2312" w:hAnsi="仿宋_GB2312" w:eastAsia="仿宋_GB2312" w:cs="仿宋_GB2312"/>
          <w:color w:val="auto"/>
          <w:kern w:val="0"/>
          <w:sz w:val="32"/>
          <w:szCs w:val="32"/>
          <w:highlight w:val="none"/>
          <w:shd w:val="clear" w:color="auto" w:fill="auto"/>
          <w:lang w:eastAsia="zh-CN"/>
        </w:rPr>
        <w:t>华富街道较好地完成了法治政府建设各项工作，但仍存在</w:t>
      </w:r>
      <w:r>
        <w:rPr>
          <w:rFonts w:hint="eastAsia" w:ascii="仿宋_GB2312" w:hAnsi="仿宋_GB2312" w:eastAsia="仿宋_GB2312" w:cs="仿宋_GB2312"/>
          <w:color w:val="auto"/>
          <w:kern w:val="0"/>
          <w:sz w:val="32"/>
          <w:szCs w:val="32"/>
          <w:highlight w:val="none"/>
        </w:rPr>
        <w:t>部分岗位流动性较大</w:t>
      </w:r>
      <w:r>
        <w:rPr>
          <w:rFonts w:hint="eastAsia" w:ascii="仿宋_GB2312" w:hAnsi="仿宋_GB2312" w:eastAsia="仿宋_GB2312" w:cs="仿宋_GB2312"/>
          <w:color w:val="auto"/>
          <w:kern w:val="0"/>
          <w:sz w:val="32"/>
          <w:szCs w:val="32"/>
          <w:highlight w:val="none"/>
          <w:lang w:eastAsia="zh-CN"/>
        </w:rPr>
        <w:t>、部分工作人员法治思维有</w:t>
      </w:r>
      <w:bookmarkStart w:id="0" w:name="_GoBack"/>
      <w:bookmarkEnd w:id="0"/>
      <w:r>
        <w:rPr>
          <w:rFonts w:hint="eastAsia" w:ascii="仿宋_GB2312" w:hAnsi="仿宋_GB2312" w:eastAsia="仿宋_GB2312" w:cs="仿宋_GB2312"/>
          <w:color w:val="auto"/>
          <w:kern w:val="0"/>
          <w:sz w:val="32"/>
          <w:szCs w:val="32"/>
          <w:highlight w:val="none"/>
          <w:lang w:eastAsia="zh-CN"/>
        </w:rPr>
        <w:t>待进一步提高，</w:t>
      </w:r>
      <w:r>
        <w:rPr>
          <w:rFonts w:hint="eastAsia" w:ascii="仿宋_GB2312" w:hAnsi="仿宋_GB2312" w:eastAsia="仿宋_GB2312" w:cs="仿宋_GB2312"/>
          <w:color w:val="auto"/>
          <w:kern w:val="0"/>
          <w:sz w:val="32"/>
          <w:szCs w:val="32"/>
          <w:highlight w:val="none"/>
        </w:rPr>
        <w:t>法治宣传手段较单一</w:t>
      </w:r>
      <w:r>
        <w:rPr>
          <w:rFonts w:hint="eastAsia" w:ascii="仿宋_GB2312" w:hAnsi="仿宋_GB2312" w:eastAsia="仿宋_GB2312" w:cs="仿宋_GB2312"/>
          <w:color w:val="auto"/>
          <w:kern w:val="0"/>
          <w:sz w:val="32"/>
          <w:szCs w:val="32"/>
          <w:highlight w:val="none"/>
          <w:lang w:eastAsia="zh-CN"/>
        </w:rPr>
        <w:t>的问题</w:t>
      </w:r>
      <w:r>
        <w:rPr>
          <w:rFonts w:hint="eastAsia" w:ascii="仿宋_GB2312" w:hAnsi="仿宋_GB2312" w:eastAsia="仿宋_GB2312" w:cs="仿宋_GB2312"/>
          <w:color w:val="auto"/>
          <w:kern w:val="0"/>
          <w:sz w:val="32"/>
          <w:szCs w:val="32"/>
          <w:highlight w:val="none"/>
        </w:rPr>
        <w:t>。 </w:t>
      </w:r>
    </w:p>
    <w:p w14:paraId="1F3993D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2021年，华富街道将在区委、区政府的领导下进一步贯彻落实十九届</w:t>
      </w:r>
      <w:r>
        <w:rPr>
          <w:rFonts w:hint="eastAsia" w:ascii="仿宋_GB2312" w:eastAsia="仿宋_GB2312"/>
          <w:color w:val="auto"/>
          <w:sz w:val="32"/>
          <w:szCs w:val="32"/>
          <w:highlight w:val="none"/>
          <w:lang w:eastAsia="zh-CN"/>
        </w:rPr>
        <w:t>历次全会</w:t>
      </w:r>
      <w:r>
        <w:rPr>
          <w:rFonts w:hint="eastAsia" w:ascii="仿宋_GB2312" w:hAnsi="仿宋_GB2312" w:eastAsia="仿宋_GB2312" w:cs="仿宋_GB2312"/>
          <w:b w:val="0"/>
          <w:bCs w:val="0"/>
          <w:color w:val="auto"/>
          <w:sz w:val="32"/>
          <w:szCs w:val="32"/>
          <w:highlight w:val="none"/>
          <w:lang w:eastAsia="zh-CN" w:bidi="ar"/>
        </w:rPr>
        <w:t>精神</w:t>
      </w:r>
      <w:r>
        <w:rPr>
          <w:rFonts w:hint="eastAsia" w:ascii="仿宋_GB2312" w:hAnsi="仿宋_GB2312" w:eastAsia="仿宋_GB2312" w:cs="仿宋_GB2312"/>
          <w:color w:val="auto"/>
          <w:kern w:val="0"/>
          <w:sz w:val="32"/>
          <w:szCs w:val="32"/>
          <w:highlight w:val="none"/>
          <w:lang w:val="en-US" w:eastAsia="zh-CN"/>
        </w:rPr>
        <w:t>以及国家、省、市、区关于法治政府建设的工作部署，</w:t>
      </w:r>
      <w:r>
        <w:rPr>
          <w:rFonts w:hint="eastAsia" w:ascii="仿宋_GB2312" w:hAnsi="仿宋_GB2312" w:eastAsia="仿宋_GB2312" w:cs="仿宋_GB2312"/>
          <w:color w:val="auto"/>
          <w:kern w:val="0"/>
          <w:sz w:val="32"/>
          <w:szCs w:val="32"/>
          <w:highlight w:val="none"/>
        </w:rPr>
        <w:t>认真总结经验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积极整改问题，</w:t>
      </w:r>
      <w:r>
        <w:rPr>
          <w:rFonts w:hint="eastAsia" w:ascii="仿宋_GB2312" w:hAnsi="仿宋_GB2312" w:eastAsia="仿宋_GB2312" w:cs="仿宋_GB2312"/>
          <w:color w:val="auto"/>
          <w:kern w:val="0"/>
          <w:sz w:val="32"/>
          <w:szCs w:val="32"/>
          <w:highlight w:val="none"/>
          <w:lang w:val="en-US" w:eastAsia="zh-CN"/>
        </w:rPr>
        <w:t>推动街道依法行政和法治政府建设工作再上新台阶。</w:t>
      </w:r>
    </w:p>
    <w:p w14:paraId="36A6D939">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楷体" w:hAnsi="楷体" w:eastAsia="楷体" w:cs="楷体"/>
          <w:color w:val="auto"/>
          <w:kern w:val="0"/>
          <w:sz w:val="32"/>
          <w:szCs w:val="32"/>
          <w:highlight w:val="none"/>
          <w:lang w:eastAsia="zh-CN"/>
        </w:rPr>
        <w:t>进一步</w:t>
      </w:r>
      <w:r>
        <w:rPr>
          <w:rFonts w:hint="eastAsia" w:ascii="楷体" w:hAnsi="楷体" w:eastAsia="楷体" w:cs="楷体"/>
          <w:color w:val="auto"/>
          <w:kern w:val="0"/>
          <w:sz w:val="32"/>
          <w:szCs w:val="32"/>
          <w:highlight w:val="none"/>
        </w:rPr>
        <w:t>加强</w:t>
      </w:r>
      <w:r>
        <w:rPr>
          <w:rFonts w:hint="eastAsia" w:ascii="楷体" w:hAnsi="楷体" w:eastAsia="楷体" w:cs="楷体"/>
          <w:color w:val="auto"/>
          <w:kern w:val="0"/>
          <w:sz w:val="32"/>
          <w:szCs w:val="32"/>
          <w:highlight w:val="none"/>
          <w:lang w:eastAsia="zh-CN"/>
        </w:rPr>
        <w:t>法治教育，实现政府坚持依法办事，群众懂得依法维权。</w:t>
      </w:r>
      <w:r>
        <w:rPr>
          <w:rFonts w:hint="eastAsia" w:ascii="仿宋_GB2312" w:hAnsi="仿宋_GB2312" w:eastAsia="仿宋_GB2312" w:cs="仿宋_GB2312"/>
          <w:color w:val="auto"/>
          <w:kern w:val="0"/>
          <w:sz w:val="32"/>
          <w:szCs w:val="32"/>
          <w:highlight w:val="none"/>
          <w:lang w:eastAsia="zh-CN"/>
        </w:rPr>
        <w:t>一是面向街道工作人员</w:t>
      </w:r>
      <w:r>
        <w:rPr>
          <w:rFonts w:hint="eastAsia" w:ascii="仿宋_GB2312" w:hAnsi="仿宋_GB2312" w:eastAsia="仿宋_GB2312" w:cs="仿宋_GB2312"/>
          <w:color w:val="auto"/>
          <w:kern w:val="0"/>
          <w:sz w:val="32"/>
          <w:szCs w:val="32"/>
          <w:highlight w:val="none"/>
        </w:rPr>
        <w:t>继续</w:t>
      </w:r>
      <w:r>
        <w:rPr>
          <w:rFonts w:hint="eastAsia" w:ascii="仿宋_GB2312" w:hAnsi="仿宋_GB2312" w:eastAsia="仿宋_GB2312" w:cs="仿宋_GB2312"/>
          <w:color w:val="auto"/>
          <w:kern w:val="0"/>
          <w:sz w:val="32"/>
          <w:szCs w:val="32"/>
          <w:highlight w:val="none"/>
          <w:lang w:eastAsia="zh-CN"/>
        </w:rPr>
        <w:t>开展</w:t>
      </w:r>
      <w:r>
        <w:rPr>
          <w:rFonts w:hint="eastAsia" w:ascii="仿宋_GB2312" w:hAnsi="仿宋_GB2312" w:eastAsia="仿宋_GB2312" w:cs="仿宋_GB2312"/>
          <w:color w:val="auto"/>
          <w:kern w:val="0"/>
          <w:sz w:val="32"/>
          <w:szCs w:val="32"/>
          <w:highlight w:val="none"/>
        </w:rPr>
        <w:t>中国特色法治理论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宪法</w:t>
      </w:r>
      <w:r>
        <w:rPr>
          <w:rFonts w:hint="eastAsia" w:ascii="仿宋_GB2312" w:hAnsi="仿宋_GB2312" w:eastAsia="仿宋_GB2312" w:cs="仿宋_GB2312"/>
          <w:color w:val="auto"/>
          <w:kern w:val="0"/>
          <w:sz w:val="32"/>
          <w:szCs w:val="32"/>
          <w:highlight w:val="none"/>
          <w:lang w:eastAsia="zh-CN"/>
        </w:rPr>
        <w:t>和与职责相关的法律法规等培训，</w:t>
      </w:r>
      <w:r>
        <w:rPr>
          <w:rFonts w:hint="eastAsia" w:ascii="仿宋_GB2312" w:hAnsi="仿宋_GB2312" w:eastAsia="仿宋_GB2312" w:cs="仿宋_GB2312"/>
          <w:color w:val="auto"/>
          <w:kern w:val="0"/>
          <w:sz w:val="32"/>
          <w:szCs w:val="32"/>
          <w:highlight w:val="none"/>
        </w:rPr>
        <w:t>不断完善干部学法制度，注重通过法治实践提高政府工作人员法治思维和依法行政能力。</w:t>
      </w:r>
      <w:r>
        <w:rPr>
          <w:rFonts w:hint="eastAsia" w:ascii="仿宋_GB2312" w:hAnsi="仿宋_GB2312" w:eastAsia="仿宋_GB2312" w:cs="仿宋_GB2312"/>
          <w:color w:val="auto"/>
          <w:kern w:val="0"/>
          <w:sz w:val="32"/>
          <w:szCs w:val="32"/>
          <w:highlight w:val="none"/>
          <w:lang w:eastAsia="zh-CN"/>
        </w:rPr>
        <w:t>二是面向人民群众开展普法</w:t>
      </w:r>
      <w:r>
        <w:rPr>
          <w:rFonts w:hint="eastAsia" w:ascii="仿宋_GB2312" w:hAnsi="仿宋_GB2312" w:eastAsia="仿宋_GB2312" w:cs="仿宋_GB2312"/>
          <w:color w:val="auto"/>
          <w:kern w:val="0"/>
          <w:sz w:val="32"/>
          <w:szCs w:val="32"/>
          <w:highlight w:val="none"/>
        </w:rPr>
        <w:t>宣传，</w:t>
      </w:r>
      <w:r>
        <w:rPr>
          <w:rFonts w:hint="eastAsia" w:ascii="仿宋_GB2312" w:hAnsi="仿宋_GB2312" w:eastAsia="仿宋_GB2312" w:cs="仿宋_GB2312"/>
          <w:color w:val="auto"/>
          <w:kern w:val="0"/>
          <w:sz w:val="32"/>
          <w:szCs w:val="32"/>
          <w:highlight w:val="none"/>
          <w:lang w:eastAsia="zh-CN"/>
        </w:rPr>
        <w:t>在</w:t>
      </w:r>
      <w:r>
        <w:rPr>
          <w:rFonts w:hint="eastAsia" w:ascii="仿宋_GB2312" w:hAnsi="仿宋_GB2312" w:eastAsia="仿宋_GB2312" w:cs="仿宋_GB2312"/>
          <w:color w:val="auto"/>
          <w:kern w:val="0"/>
          <w:sz w:val="32"/>
          <w:szCs w:val="32"/>
          <w:highlight w:val="none"/>
        </w:rPr>
        <w:t>传统宣传阵地的基础上不断创新法治宣传手段，使法治政府、法治社会、法治国家的观念深入人心。</w:t>
      </w:r>
    </w:p>
    <w:p w14:paraId="1FC15186">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楷体" w:hAnsi="楷体" w:eastAsia="楷体" w:cs="楷体"/>
          <w:color w:val="auto"/>
          <w:kern w:val="0"/>
          <w:sz w:val="32"/>
          <w:szCs w:val="32"/>
          <w:highlight w:val="none"/>
          <w:lang w:eastAsia="zh-CN"/>
        </w:rPr>
        <w:t>继续坚持“谁执法谁普法”原则，促进“普法</w:t>
      </w:r>
      <w:r>
        <w:rPr>
          <w:rFonts w:hint="eastAsia" w:ascii="楷体" w:hAnsi="楷体" w:eastAsia="楷体" w:cs="楷体"/>
          <w:color w:val="auto"/>
          <w:kern w:val="0"/>
          <w:sz w:val="32"/>
          <w:szCs w:val="32"/>
          <w:highlight w:val="none"/>
          <w:lang w:val="en-US" w:eastAsia="zh-CN"/>
        </w:rPr>
        <w:t>+执法</w:t>
      </w:r>
      <w:r>
        <w:rPr>
          <w:rFonts w:hint="eastAsia" w:ascii="楷体" w:hAnsi="楷体" w:eastAsia="楷体" w:cs="楷体"/>
          <w:color w:val="auto"/>
          <w:kern w:val="0"/>
          <w:sz w:val="32"/>
          <w:szCs w:val="32"/>
          <w:highlight w:val="none"/>
          <w:lang w:eastAsia="zh-CN"/>
        </w:rPr>
        <w:t>”深度融合。</w:t>
      </w:r>
      <w:r>
        <w:rPr>
          <w:rFonts w:hint="eastAsia" w:ascii="仿宋_GB2312" w:hAnsi="仿宋_GB2312" w:eastAsia="仿宋_GB2312" w:cs="仿宋_GB2312"/>
          <w:color w:val="auto"/>
          <w:kern w:val="0"/>
          <w:sz w:val="32"/>
          <w:szCs w:val="32"/>
          <w:highlight w:val="none"/>
        </w:rPr>
        <w:t>将</w:t>
      </w:r>
      <w:r>
        <w:rPr>
          <w:rFonts w:hint="eastAsia" w:ascii="仿宋_GB2312" w:hAnsi="仿宋_GB2312" w:eastAsia="仿宋_GB2312" w:cs="仿宋_GB2312"/>
          <w:color w:val="auto"/>
          <w:kern w:val="0"/>
          <w:sz w:val="32"/>
          <w:szCs w:val="32"/>
          <w:highlight w:val="none"/>
          <w:lang w:eastAsia="zh-CN"/>
        </w:rPr>
        <w:t>法治</w:t>
      </w:r>
      <w:r>
        <w:rPr>
          <w:rFonts w:hint="eastAsia" w:ascii="仿宋_GB2312" w:hAnsi="仿宋_GB2312" w:eastAsia="仿宋_GB2312" w:cs="仿宋_GB2312"/>
          <w:color w:val="auto"/>
          <w:kern w:val="0"/>
          <w:sz w:val="32"/>
          <w:szCs w:val="32"/>
          <w:highlight w:val="none"/>
        </w:rPr>
        <w:t>宣传教育渗透到行政执法的各个环节，通过广泛普法促进文明执法，不断提高社会管理法治化水平。</w:t>
      </w:r>
    </w:p>
    <w:p w14:paraId="2FCC769D">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640"/>
        <w:textAlignment w:val="auto"/>
        <w:outlineLvl w:val="9"/>
        <w:rPr>
          <w:rFonts w:hint="eastAsia" w:ascii="仿宋_GB2312" w:hAnsi="仿宋_GB2312" w:eastAsia="仿宋_GB2312" w:cs="仿宋_GB2312"/>
          <w:color w:val="auto"/>
          <w:kern w:val="0"/>
          <w:sz w:val="32"/>
          <w:szCs w:val="32"/>
          <w:highlight w:val="none"/>
        </w:rPr>
      </w:pPr>
    </w:p>
    <w:p w14:paraId="7274D060">
      <w:pPr>
        <w:pStyle w:val="2"/>
        <w:rPr>
          <w:rFonts w:hint="eastAsia"/>
          <w:highlight w:val="none"/>
        </w:rPr>
      </w:pPr>
    </w:p>
    <w:p w14:paraId="6BDEEF81">
      <w:pPr>
        <w:pStyle w:val="2"/>
        <w:rPr>
          <w:rFonts w:hint="eastAsia"/>
          <w:highlight w:val="none"/>
        </w:rPr>
      </w:pPr>
    </w:p>
    <w:p w14:paraId="6CDA83D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640"/>
        <w:jc w:val="right"/>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福田区</w:t>
      </w:r>
      <w:r>
        <w:rPr>
          <w:rFonts w:hint="eastAsia" w:ascii="仿宋_GB2312" w:hAnsi="仿宋_GB2312" w:eastAsia="仿宋_GB2312" w:cs="仿宋_GB2312"/>
          <w:color w:val="auto"/>
          <w:kern w:val="0"/>
          <w:sz w:val="32"/>
          <w:szCs w:val="32"/>
          <w:highlight w:val="none"/>
        </w:rPr>
        <w:t>华富街道办事处</w:t>
      </w:r>
    </w:p>
    <w:p w14:paraId="3044E8BF">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320"/>
        <w:jc w:val="center"/>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18</w:t>
      </w:r>
      <w:r>
        <w:rPr>
          <w:rFonts w:hint="eastAsia" w:ascii="仿宋_GB2312" w:hAnsi="仿宋_GB2312" w:eastAsia="仿宋_GB2312" w:cs="仿宋_GB2312"/>
          <w:color w:val="auto"/>
          <w:kern w:val="0"/>
          <w:sz w:val="32"/>
          <w:szCs w:val="32"/>
          <w:highlight w:val="none"/>
        </w:rPr>
        <w:t>日</w:t>
      </w:r>
    </w:p>
    <w:p w14:paraId="2D4E2DDF">
      <w:pPr>
        <w:keepNext w:val="0"/>
        <w:keepLines w:val="0"/>
        <w:pageBreakBefore w:val="0"/>
        <w:kinsoku/>
        <w:wordWrap/>
        <w:overflowPunct/>
        <w:topLinePunct w:val="0"/>
        <w:autoSpaceDE/>
        <w:autoSpaceDN/>
        <w:bidi w:val="0"/>
        <w:adjustRightInd/>
        <w:snapToGrid/>
        <w:spacing w:line="560" w:lineRule="exact"/>
        <w:textAlignment w:val="auto"/>
        <w:rPr>
          <w:highlight w:val="none"/>
        </w:rPr>
      </w:pPr>
    </w:p>
    <w:p w14:paraId="72034AD8">
      <w:pPr>
        <w:keepNext w:val="0"/>
        <w:keepLines w:val="0"/>
        <w:pageBreakBefore w:val="0"/>
        <w:kinsoku/>
        <w:wordWrap/>
        <w:overflowPunct/>
        <w:topLinePunct w:val="0"/>
        <w:autoSpaceDE/>
        <w:autoSpaceDN/>
        <w:bidi w:val="0"/>
        <w:adjustRightInd/>
        <w:snapToGrid/>
        <w:spacing w:line="560" w:lineRule="exact"/>
        <w:textAlignment w:val="auto"/>
        <w:rPr>
          <w:highlight w:val="none"/>
        </w:rPr>
      </w:pPr>
    </w:p>
    <w:sectPr>
      <w:footerReference r:id="rId3" w:type="default"/>
      <w:pgSz w:w="11906" w:h="16838"/>
      <w:pgMar w:top="2098" w:right="1474" w:bottom="198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B5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D012C">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9D012C">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4ED36"/>
    <w:multiLevelType w:val="singleLevel"/>
    <w:tmpl w:val="5FA4ED36"/>
    <w:lvl w:ilvl="0" w:tentative="0">
      <w:start w:val="4"/>
      <w:numFmt w:val="chineseCounting"/>
      <w:suff w:val="nothing"/>
      <w:lvlText w:val="（%1）"/>
      <w:lvlJc w:val="left"/>
    </w:lvl>
  </w:abstractNum>
  <w:abstractNum w:abstractNumId="1">
    <w:nsid w:val="5FA50837"/>
    <w:multiLevelType w:val="singleLevel"/>
    <w:tmpl w:val="5FA50837"/>
    <w:lvl w:ilvl="0" w:tentative="0">
      <w:start w:val="1"/>
      <w:numFmt w:val="chineseCounting"/>
      <w:suff w:val="nothing"/>
      <w:lvlText w:val="（%1）"/>
      <w:lvlJc w:val="left"/>
    </w:lvl>
  </w:abstractNum>
  <w:abstractNum w:abstractNumId="2">
    <w:nsid w:val="5FA5332F"/>
    <w:multiLevelType w:val="singleLevel"/>
    <w:tmpl w:val="5FA5332F"/>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F2A70"/>
    <w:rsid w:val="006F7323"/>
    <w:rsid w:val="008234F1"/>
    <w:rsid w:val="01BA6EC4"/>
    <w:rsid w:val="02396366"/>
    <w:rsid w:val="02AA58B4"/>
    <w:rsid w:val="02F126E0"/>
    <w:rsid w:val="046C2DEF"/>
    <w:rsid w:val="049646C6"/>
    <w:rsid w:val="064043D3"/>
    <w:rsid w:val="07291409"/>
    <w:rsid w:val="084D3E3B"/>
    <w:rsid w:val="08882505"/>
    <w:rsid w:val="09252235"/>
    <w:rsid w:val="09D16A46"/>
    <w:rsid w:val="09E82DF4"/>
    <w:rsid w:val="0B0F2EFA"/>
    <w:rsid w:val="0B920549"/>
    <w:rsid w:val="0D000C39"/>
    <w:rsid w:val="0DAE4401"/>
    <w:rsid w:val="0F5069BE"/>
    <w:rsid w:val="10884811"/>
    <w:rsid w:val="11825B23"/>
    <w:rsid w:val="11F37F73"/>
    <w:rsid w:val="11FC7E7C"/>
    <w:rsid w:val="12407EA9"/>
    <w:rsid w:val="14DC3235"/>
    <w:rsid w:val="15A451C1"/>
    <w:rsid w:val="16827DE6"/>
    <w:rsid w:val="16995B35"/>
    <w:rsid w:val="17870B9B"/>
    <w:rsid w:val="190D0B90"/>
    <w:rsid w:val="1931181A"/>
    <w:rsid w:val="1B2354FF"/>
    <w:rsid w:val="1B3513E5"/>
    <w:rsid w:val="1BF55A8C"/>
    <w:rsid w:val="1C1D5303"/>
    <w:rsid w:val="1CA1163D"/>
    <w:rsid w:val="1EAA790A"/>
    <w:rsid w:val="1FD65E73"/>
    <w:rsid w:val="232A10D9"/>
    <w:rsid w:val="23EF4291"/>
    <w:rsid w:val="24025644"/>
    <w:rsid w:val="24235952"/>
    <w:rsid w:val="272C0048"/>
    <w:rsid w:val="279C538B"/>
    <w:rsid w:val="27FF31E9"/>
    <w:rsid w:val="28C843E3"/>
    <w:rsid w:val="291C3318"/>
    <w:rsid w:val="29BB2AEA"/>
    <w:rsid w:val="2A235B63"/>
    <w:rsid w:val="2BA30579"/>
    <w:rsid w:val="2C1E52B8"/>
    <w:rsid w:val="2C336603"/>
    <w:rsid w:val="2C6B1651"/>
    <w:rsid w:val="2DC138A8"/>
    <w:rsid w:val="2E0719A0"/>
    <w:rsid w:val="2E625F73"/>
    <w:rsid w:val="2F0E3026"/>
    <w:rsid w:val="2F491AB3"/>
    <w:rsid w:val="2F613222"/>
    <w:rsid w:val="2FD35FB4"/>
    <w:rsid w:val="2FF92BCC"/>
    <w:rsid w:val="32AD2793"/>
    <w:rsid w:val="32B3425E"/>
    <w:rsid w:val="344F1E11"/>
    <w:rsid w:val="34510F9C"/>
    <w:rsid w:val="345151D4"/>
    <w:rsid w:val="35B0556A"/>
    <w:rsid w:val="36F5703B"/>
    <w:rsid w:val="385F0D0C"/>
    <w:rsid w:val="396237F7"/>
    <w:rsid w:val="3D935760"/>
    <w:rsid w:val="3DDF0616"/>
    <w:rsid w:val="3E5C13C0"/>
    <w:rsid w:val="3E905FB2"/>
    <w:rsid w:val="3EA3551F"/>
    <w:rsid w:val="3EC42E60"/>
    <w:rsid w:val="408B78B9"/>
    <w:rsid w:val="40E157A8"/>
    <w:rsid w:val="432D7BD0"/>
    <w:rsid w:val="43DB2E3D"/>
    <w:rsid w:val="454269DC"/>
    <w:rsid w:val="465A2D92"/>
    <w:rsid w:val="479225C7"/>
    <w:rsid w:val="47E66F36"/>
    <w:rsid w:val="4CB72D1B"/>
    <w:rsid w:val="4D220533"/>
    <w:rsid w:val="4E8802AC"/>
    <w:rsid w:val="4EE66F42"/>
    <w:rsid w:val="4F2749CB"/>
    <w:rsid w:val="4F555904"/>
    <w:rsid w:val="4F91553D"/>
    <w:rsid w:val="510F3A61"/>
    <w:rsid w:val="514725E7"/>
    <w:rsid w:val="52000F57"/>
    <w:rsid w:val="521F6F37"/>
    <w:rsid w:val="52415AFD"/>
    <w:rsid w:val="53B65984"/>
    <w:rsid w:val="54712304"/>
    <w:rsid w:val="54746829"/>
    <w:rsid w:val="56710FF1"/>
    <w:rsid w:val="567938A7"/>
    <w:rsid w:val="57AD0335"/>
    <w:rsid w:val="58AA6D55"/>
    <w:rsid w:val="593C1AAD"/>
    <w:rsid w:val="5AF9475E"/>
    <w:rsid w:val="5C717F8A"/>
    <w:rsid w:val="5F8B75CF"/>
    <w:rsid w:val="610D08E1"/>
    <w:rsid w:val="61254918"/>
    <w:rsid w:val="625A721E"/>
    <w:rsid w:val="62737589"/>
    <w:rsid w:val="62DD46BB"/>
    <w:rsid w:val="63C339B3"/>
    <w:rsid w:val="64881F96"/>
    <w:rsid w:val="65AB3B35"/>
    <w:rsid w:val="65FF79E6"/>
    <w:rsid w:val="675C13B8"/>
    <w:rsid w:val="687F5BA3"/>
    <w:rsid w:val="6918561B"/>
    <w:rsid w:val="69342B45"/>
    <w:rsid w:val="69ED1AB7"/>
    <w:rsid w:val="6AD26936"/>
    <w:rsid w:val="6B2747D5"/>
    <w:rsid w:val="6C27557A"/>
    <w:rsid w:val="6D8A0B1B"/>
    <w:rsid w:val="6DC45A48"/>
    <w:rsid w:val="6EFE3FC0"/>
    <w:rsid w:val="6F2C6B27"/>
    <w:rsid w:val="6FBF180B"/>
    <w:rsid w:val="6FE53891"/>
    <w:rsid w:val="743101CC"/>
    <w:rsid w:val="74DD5917"/>
    <w:rsid w:val="756F3C0F"/>
    <w:rsid w:val="75C96078"/>
    <w:rsid w:val="78FC537A"/>
    <w:rsid w:val="798F2A70"/>
    <w:rsid w:val="7A90745D"/>
    <w:rsid w:val="7AD20124"/>
    <w:rsid w:val="7AF06B51"/>
    <w:rsid w:val="7AFE7176"/>
    <w:rsid w:val="7B99032F"/>
    <w:rsid w:val="7FE70B93"/>
    <w:rsid w:val="7FEC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jc w:val="center"/>
    </w:pPr>
    <w:rPr>
      <w:sz w:val="30"/>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lainText"/>
    <w:basedOn w:val="1"/>
    <w:qFormat/>
    <w:uiPriority w:val="0"/>
    <w:pPr>
      <w:spacing w:line="240" w:lineRule="auto"/>
      <w:jc w:val="both"/>
      <w:textAlignment w:val="baseline"/>
    </w:pPr>
    <w:rPr>
      <w:rFonts w:ascii="宋体" w:hAnsi="Courier New" w:eastAsia="宋体" w:cs="Times New Roman"/>
      <w:kern w:val="2"/>
      <w:sz w:val="21"/>
      <w:lang w:val="en-US" w:eastAsia="zh-CN" w:bidi="ar-SA"/>
    </w:rPr>
  </w:style>
  <w:style w:type="character" w:customStyle="1" w:styleId="10">
    <w:name w:val="NormalCharacter"/>
    <w:qFormat/>
    <w:uiPriority w:val="0"/>
    <w:rPr>
      <w:rFonts w:ascii="Times New Roman" w:hAnsi="Times New Roman" w:eastAsia="宋体" w:cs="Times New Roman"/>
    </w:rPr>
  </w:style>
  <w:style w:type="character" w:customStyle="1" w:styleId="11">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5342</Words>
  <Characters>5536</Characters>
  <Lines>0</Lines>
  <Paragraphs>0</Paragraphs>
  <TotalTime>30</TotalTime>
  <ScaleCrop>false</ScaleCrop>
  <LinksUpToDate>false</LinksUpToDate>
  <CharactersWithSpaces>5579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2020-11-06T07:04:00Z</dcterms:created>
  <dc:creator>李琦</dc:creator>
  <cp:lastModifiedBy>★</cp:lastModifiedBy>
  <cp:lastPrinted>2020-11-17T06:57:00Z</cp:lastPrinted>
  <dcterms:modified xsi:type="dcterms:W3CDTF">2025-12-23T08:49:42Z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086EB29965364DA5B9B7568915E2AF73</vt:lpwstr>
  </property>
  <property fmtid="{D5CDD505-2E9C-101B-9397-08002B2CF9AE}" pid="4" name="KSOTemplateDocerSaveRecord">
    <vt:lpwstr>eyJoZGlkIjoiMGYwZTBkZWM3ZjI5MjA1ODM0NTk1ZWJkNzk4YTQ2MWMiLCJ1c2VySWQiOiIyMzQ4Nzg4MDEifQ==</vt:lpwstr>
  </property>
</Properties>
</file>