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深圳市生态环境局福田管理局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20231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53号提案的答复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尊敬的</w:t>
      </w:r>
      <w:r>
        <w:rPr>
          <w:rFonts w:hint="default" w:ascii="仿宋_GB2312" w:hAnsi="宋体" w:eastAsia="仿宋_GB2312" w:cs="仿宋_GB2312"/>
          <w:kern w:val="0"/>
          <w:sz w:val="32"/>
          <w:szCs w:val="32"/>
          <w:lang w:eastAsia="zh-CN" w:bidi="ar"/>
        </w:rPr>
        <w:t>杨丽艳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关于开展近零碳社区试点创建，打造福田区社区建设闪亮名片的提案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》的提案收悉，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我局会同区发改局、各街道办积极讨论与研究，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现就提案办理有关情况答复如下：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82"/>
        <w:gridCol w:w="2181"/>
        <w:gridCol w:w="42"/>
        <w:gridCol w:w="1822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</w:t>
            </w: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建议一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开展近零碳社区试点培育和创建，短期内填补福田区近零碳社区试点项目空白。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当年完成事项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我区高度重视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近零碳试点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项目创建工作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积极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组织各街道办事处、社区工作站、物业管理单位，召开福田区“碳路”社区近零碳排放试点创建讲座，推进近零碳社区试点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项目创建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截至今年，我区共16个项目纳入近零碳排放区试点，数量位列全市第一。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目前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我区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持续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开展近零碳试点申报工作，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梳理并征集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减排潜力较大或低碳基础较好的意向社区进行申报。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当年推动事项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我区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在建设项目环评、规划环评及区域环评改革中率先开展碳排放评价。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目前正逐步探索社区碳排放摸底调研，在梅林片区、河套深港科技创新合作区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等区域及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福田水质净化厂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滨河水质净化厂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等项目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探索开展碳排放评价工作，初步掌握碳排放基础数据。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明年待落实事项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将碳排放评价纳入环评改革后，我区将积极开展更多社区的碳排放摸底调研，掌握碳排放基底数据，分析近零碳排放社区试点建设的可行性以及针对性解决方案，推动近零碳排放社区试点的创建。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不能采纳原因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建议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二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制定近零碳社区试点项目的补贴扶持政策，进一步推动申报单位积极性。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当年完成事项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目前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关于近零碳相关补贴政策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主要由市级职能部门制定，主要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集中在绿色建筑、节能改造、电化学储能方面。其中包括：《关于支持建筑领域绿色低碳发展若干措施》（深建规〔2022〕4号），鼓励超低能耗建筑项目建设，对被认定为（近）零碳零能耗示范项目的给予资金支持；《深圳市福田区支持战略性新兴产业和未来产业集群发展若干措施》，针对既有建筑的节能改造提供资金支持；《深圳市促进绿色低碳产业高质量发展的若干措施》，对符合条件且验收通过的近零碳排放区试点项目给予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当年推动事项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正积极跟进两批近零碳排放区试点项目的建设，为试点建设单位提供必要的指导和协助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，收集并汇总相关政策补贴，提高申报主体的创建积极性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第三批近零碳排放区试点的申报工作，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在全区范围内征集近零碳排放区试点意向项目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申报的单位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做好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近零碳社区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试点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创建工作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宣贯并给予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政策支持。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明年待落实事项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进一步研究并制定针对性强的补贴扶持政策，对社区试点意向申报单位给予必要的指导和协助，推动我区近零碳排放区社区试点的创建工作。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不能采纳原因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建议三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成立社区公众咨询组织，多方力量共同参与社区建设和治理。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当年完成事项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目前，我区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正积极统筹多方力量共建近零碳社区。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今年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5月以来，我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区生态环境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部门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、发展改革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部门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等组织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了多场绿色低碳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主题宣传活动，在社区公园、广场、商超等场所向市民普及低碳知识，介绍近零碳社区概念等，鼓励市民参与近零碳社区建设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各街道办积极组织多项社区共同治理新模式。例如：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香蜜湖街道积极推广安托山“近零碳区域试点”经验，组织各社区学习与交流，推动成立由街道社区、专业人员、社会机构和居民代表等利益相关方共同组成的工作组，收集多方意见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；福田街道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发动社区工作者、党员志愿者在辖区开展垃圾分类、节能减排、创建全国文明城市等宣传活动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依托包进联工作机制，定期举办党员服务市集活动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等；华富街道着力打造城中村垃圾分类示范，提高居民参与废旧物资回收的积极性，促进资源循环利用和绿色低碳循环发展，在各社区积极开展绿色低碳宣传等。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当年推动事项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明年待落实事项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近零碳社区建设是一项系统工程，目前还面临着专业人员不足、社会资本投入不足等问题，这需要长期努力，更需要多部门、全方位通力合作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将加强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统筹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协调、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持续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创造条件，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组织各职能部门、社区、企业等，研究探索更好的多方力量参与社区建设和治理的新模式，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积极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推进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近零碳社区试点的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创建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1" w:type="pct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不能采纳原因</w:t>
            </w:r>
          </w:p>
        </w:tc>
        <w:tc>
          <w:tcPr>
            <w:tcW w:w="2909" w:type="pct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补充说明（办理过程及其他需要说明的情况）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建议一中我区正积极组织开展近零碳社区试点的创建工作，而社区试点的划定边界较广，我区各社区人口密度高，住宅类建筑较为密集，各社区均存在人均碳排放量较高的问题。经专业机构估后，暂无满足试点创建指标的社区。目前，我区已开展安托山片区近零碳区域试点建设工作，我区将在区域试点基础之上进一步探索社区试点的创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建议二、建议三所提问题已基本解决，正按计划逐步推进，具体完成情况详见表中答复内容。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深圳市生态环境局福田管理局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 xml:space="preserve">          2023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年10月1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办理实效评估类别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类（A类：提案所提问题已经解决或基本解决；B类：提案所提问题正在解决或已列入计划准备解决；C类：提案所提问题因受目前条件限制或其他原因需以后研究解决；D类：留作参考。）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6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04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  <w:t>王蓝天</w:t>
            </w:r>
          </w:p>
        </w:tc>
        <w:tc>
          <w:tcPr>
            <w:tcW w:w="10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  <w:t>17673165873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Dk4ZWE2ODQwZDIyNjA2ZGZhMjJiYTRhZDdjYWEifQ=="/>
  </w:docVars>
  <w:rsids>
    <w:rsidRoot w:val="00000000"/>
    <w:rsid w:val="1AC368B8"/>
    <w:rsid w:val="26AB48EE"/>
    <w:rsid w:val="33823BC7"/>
    <w:rsid w:val="35CA00DA"/>
    <w:rsid w:val="36ABE218"/>
    <w:rsid w:val="3EAB0813"/>
    <w:rsid w:val="4E7D3527"/>
    <w:rsid w:val="55E76E51"/>
    <w:rsid w:val="5A712F04"/>
    <w:rsid w:val="62425E44"/>
    <w:rsid w:val="655F015C"/>
    <w:rsid w:val="6B6F200D"/>
    <w:rsid w:val="70A84DD1"/>
    <w:rsid w:val="77BFFEED"/>
    <w:rsid w:val="7B36F2B5"/>
    <w:rsid w:val="7ECF6628"/>
    <w:rsid w:val="7EDB4B26"/>
    <w:rsid w:val="7FEF7AAA"/>
    <w:rsid w:val="7FFE3A8F"/>
    <w:rsid w:val="95D6A514"/>
    <w:rsid w:val="9B7DFF5A"/>
    <w:rsid w:val="9FEFD8C1"/>
    <w:rsid w:val="AF3BB7E2"/>
    <w:rsid w:val="AF6FE0F4"/>
    <w:rsid w:val="B7F74972"/>
    <w:rsid w:val="DFEF376A"/>
    <w:rsid w:val="DFF6A797"/>
    <w:rsid w:val="E6FE3FE1"/>
    <w:rsid w:val="EEDBEBC1"/>
    <w:rsid w:val="EEFD9467"/>
    <w:rsid w:val="EF5311C7"/>
    <w:rsid w:val="F775F7D5"/>
    <w:rsid w:val="F7F7BC94"/>
    <w:rsid w:val="FAB6E47E"/>
    <w:rsid w:val="FB9D7ED3"/>
    <w:rsid w:val="FBCF2887"/>
    <w:rsid w:val="FE3FB927"/>
    <w:rsid w:val="FE4F2E93"/>
    <w:rsid w:val="FE7E437F"/>
    <w:rsid w:val="FEFF95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luobeier</cp:lastModifiedBy>
  <cp:lastPrinted>2023-10-20T08:02:00Z</cp:lastPrinted>
  <dcterms:modified xsi:type="dcterms:W3CDTF">2025-12-22T14:55:19Z</dcterms:modified>
  <dc:title>深圳市生态环境局福田管理局对于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A44D819E5A4CE24E57EB48694C0B9279</vt:lpwstr>
  </property>
</Properties>
</file>