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市生态环境局福田管理局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关于区八届人大四次会议代表建议第20240088号的答复意见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eastAsia="仿宋_GB2312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eastAsia="仿宋_GB2312"/>
          <w:sz w:val="32"/>
          <w:szCs w:val="40"/>
          <w:lang w:eastAsia="zh-CN"/>
        </w:rPr>
      </w:pPr>
      <w:r>
        <w:rPr>
          <w:rFonts w:hint="eastAsia" w:ascii="仿宋_GB2312" w:eastAsia="仿宋_GB2312"/>
          <w:sz w:val="32"/>
          <w:szCs w:val="40"/>
          <w:lang w:eastAsia="zh-CN"/>
        </w:rPr>
        <w:t>尊敬的戴哲恒等代表：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eastAsia="仿宋_GB2312"/>
          <w:sz w:val="32"/>
          <w:szCs w:val="40"/>
          <w:lang w:eastAsia="zh-CN"/>
        </w:rPr>
      </w:pPr>
      <w:r>
        <w:rPr>
          <w:rFonts w:hint="eastAsia" w:ascii="仿宋_GB2312" w:eastAsia="仿宋_GB2312"/>
          <w:sz w:val="32"/>
          <w:szCs w:val="40"/>
          <w:lang w:eastAsia="zh-CN"/>
        </w:rPr>
        <w:t>区八届人大四次会议代表建议第20240088号《关于结合中小学水文化普及，构建新时期水资源生态保护新格局的建议》已收悉，经研究，现将我局办理意见如下：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eastAsia="仿宋_GB2312"/>
          <w:sz w:val="32"/>
          <w:szCs w:val="40"/>
          <w:lang w:eastAsia="zh-CN"/>
        </w:rPr>
      </w:pPr>
      <w:r>
        <w:rPr>
          <w:rFonts w:hint="eastAsia" w:ascii="仿宋_GB2312" w:eastAsia="仿宋_GB2312"/>
          <w:sz w:val="32"/>
          <w:szCs w:val="40"/>
          <w:lang w:val="en-US" w:eastAsia="zh-CN"/>
        </w:rPr>
        <w:t>近年来，</w:t>
      </w:r>
      <w:r>
        <w:rPr>
          <w:rFonts w:hint="eastAsia" w:ascii="仿宋_GB2312" w:eastAsia="仿宋_GB2312"/>
          <w:sz w:val="32"/>
          <w:szCs w:val="40"/>
          <w:lang w:eastAsia="zh-CN"/>
        </w:rPr>
        <w:t>我国确定了建设海洋强国的</w:t>
      </w:r>
      <w:r>
        <w:rPr>
          <w:rFonts w:hint="eastAsia" w:ascii="仿宋_GB2312" w:eastAsia="仿宋_GB2312"/>
          <w:sz w:val="32"/>
          <w:szCs w:val="40"/>
          <w:lang w:val="en-US" w:eastAsia="zh-CN"/>
        </w:rPr>
        <w:t>蓝色信念</w:t>
      </w:r>
      <w:r>
        <w:rPr>
          <w:rFonts w:hint="eastAsia" w:ascii="仿宋_GB2312" w:eastAsia="仿宋_GB2312"/>
          <w:sz w:val="32"/>
          <w:szCs w:val="40"/>
          <w:lang w:eastAsia="zh-CN"/>
        </w:rPr>
        <w:t>和深圳建设全球海洋中心城市的战略目标。</w:t>
      </w:r>
      <w:r>
        <w:rPr>
          <w:rFonts w:hint="eastAsia" w:ascii="仿宋_GB2312" w:eastAsia="仿宋_GB2312"/>
          <w:sz w:val="32"/>
          <w:szCs w:val="40"/>
          <w:lang w:val="en-US" w:eastAsia="zh-CN"/>
        </w:rPr>
        <w:t>深圳是一座滨海城市，具有丰富的海洋和海岸生态系统。福田区拥有毗邻深圳湾的区位优势，这里水生态环境丰富多样，既有宽阔的海面，也有蜿蜒的河流和湖泊。这些水域不仅为福田区提供了丰富的水资源，也为</w:t>
      </w:r>
      <w:r>
        <w:rPr>
          <w:rFonts w:hint="default" w:ascii="仿宋_GB2312" w:eastAsia="仿宋_GB2312"/>
          <w:sz w:val="32"/>
          <w:szCs w:val="40"/>
          <w:lang w:eastAsia="zh-CN"/>
        </w:rPr>
        <w:t>福田</w:t>
      </w:r>
      <w:r>
        <w:rPr>
          <w:rFonts w:hint="eastAsia" w:ascii="仿宋_GB2312" w:eastAsia="仿宋_GB2312"/>
          <w:sz w:val="32"/>
          <w:szCs w:val="40"/>
          <w:lang w:val="en-US" w:eastAsia="zh-CN"/>
        </w:rPr>
        <w:t>生态环境带来了无限生机。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一、常态化宣传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仿宋_GB2312" w:eastAsia="仿宋_GB2312"/>
          <w:sz w:val="32"/>
          <w:szCs w:val="40"/>
          <w:lang w:eastAsia="zh-CN"/>
        </w:rPr>
      </w:pPr>
      <w:r>
        <w:rPr>
          <w:rFonts w:hint="default" w:ascii="仿宋_GB2312" w:eastAsia="仿宋_GB2312"/>
          <w:sz w:val="32"/>
          <w:szCs w:val="40"/>
          <w:lang w:val="en-US" w:eastAsia="zh-CN"/>
        </w:rPr>
        <w:t>一直以来，我局高度重视水文化在生态环境保护宣传工作中的重要性。水环境质量与居民生活、生态系统良好运转密切相关，具有重要意义。因此，我局在每年的六五环境日、世界海洋日、全国低碳日、国际生物多样性日、全国生态日等节点常态化开展宣传活动，通过形式多样的主题宣传活动加强水环境保护宣传，旨在</w:t>
      </w:r>
      <w:r>
        <w:rPr>
          <w:rFonts w:hint="eastAsia" w:ascii="仿宋_GB2312" w:eastAsia="仿宋_GB2312"/>
          <w:sz w:val="32"/>
          <w:szCs w:val="40"/>
          <w:lang w:val="en-US" w:eastAsia="zh-CN"/>
        </w:rPr>
        <w:t>呼吁</w:t>
      </w:r>
      <w:r>
        <w:rPr>
          <w:rFonts w:hint="default" w:ascii="仿宋_GB2312" w:eastAsia="仿宋_GB2312"/>
          <w:sz w:val="32"/>
          <w:szCs w:val="40"/>
          <w:lang w:val="en-US" w:eastAsia="zh-CN"/>
        </w:rPr>
        <w:t>大众关注水环境，</w:t>
      </w:r>
      <w:r>
        <w:rPr>
          <w:rFonts w:hint="eastAsia" w:ascii="仿宋_GB2312" w:eastAsia="仿宋_GB2312"/>
          <w:sz w:val="32"/>
          <w:szCs w:val="40"/>
          <w:lang w:val="en-US" w:eastAsia="zh-CN"/>
        </w:rPr>
        <w:t>加强</w:t>
      </w:r>
      <w:r>
        <w:rPr>
          <w:rFonts w:hint="default" w:ascii="仿宋_GB2312" w:eastAsia="仿宋_GB2312"/>
          <w:sz w:val="32"/>
          <w:szCs w:val="40"/>
          <w:lang w:val="en-US" w:eastAsia="zh-CN"/>
        </w:rPr>
        <w:t>对水环境保护的认知和参与</w:t>
      </w:r>
      <w:r>
        <w:rPr>
          <w:rFonts w:hint="default" w:ascii="仿宋_GB2312" w:eastAsia="仿宋_GB2312"/>
          <w:sz w:val="32"/>
          <w:szCs w:val="40"/>
          <w:lang w:eastAsia="zh-CN"/>
        </w:rPr>
        <w:t>度</w:t>
      </w:r>
      <w:r>
        <w:rPr>
          <w:rFonts w:hint="eastAsia" w:ascii="仿宋_GB2312" w:eastAsia="仿宋_GB2312"/>
          <w:sz w:val="32"/>
          <w:szCs w:val="40"/>
          <w:lang w:val="en-US" w:eastAsia="zh-CN"/>
        </w:rPr>
        <w:t>，</w:t>
      </w:r>
      <w:r>
        <w:rPr>
          <w:rFonts w:hint="default" w:ascii="仿宋_GB2312" w:eastAsia="仿宋_GB2312"/>
          <w:sz w:val="32"/>
          <w:szCs w:val="40"/>
          <w:lang w:eastAsia="zh-CN"/>
        </w:rPr>
        <w:t>这些活动</w:t>
      </w:r>
      <w:r>
        <w:rPr>
          <w:rFonts w:hint="eastAsia" w:ascii="仿宋_GB2312" w:eastAsia="仿宋_GB2312"/>
          <w:sz w:val="32"/>
          <w:szCs w:val="40"/>
          <w:lang w:val="en-US" w:eastAsia="zh-CN"/>
        </w:rPr>
        <w:t>每年吸引市民</w:t>
      </w:r>
      <w:r>
        <w:rPr>
          <w:rFonts w:hint="default" w:ascii="仿宋_GB2312" w:eastAsia="仿宋_GB2312"/>
          <w:sz w:val="32"/>
          <w:szCs w:val="40"/>
          <w:lang w:eastAsia="zh-CN"/>
        </w:rPr>
        <w:t>超十万</w:t>
      </w:r>
      <w:r>
        <w:rPr>
          <w:rFonts w:hint="eastAsia" w:ascii="仿宋_GB2312" w:eastAsia="仿宋_GB2312"/>
          <w:sz w:val="32"/>
          <w:szCs w:val="40"/>
          <w:lang w:val="en-US" w:eastAsia="zh-CN"/>
        </w:rPr>
        <w:t>人次</w:t>
      </w:r>
      <w:r>
        <w:rPr>
          <w:rFonts w:hint="default" w:ascii="仿宋_GB2312" w:eastAsia="仿宋_GB2312"/>
          <w:sz w:val="32"/>
          <w:szCs w:val="40"/>
          <w:lang w:eastAsia="zh-CN"/>
        </w:rPr>
        <w:t>参加</w:t>
      </w:r>
      <w:r>
        <w:rPr>
          <w:rFonts w:hint="eastAsia" w:ascii="仿宋_GB2312" w:eastAsia="仿宋_GB2312"/>
          <w:sz w:val="32"/>
          <w:szCs w:val="40"/>
          <w:lang w:val="en-US" w:eastAsia="zh-CN"/>
        </w:rPr>
        <w:t>，提高了市民对</w:t>
      </w:r>
      <w:r>
        <w:rPr>
          <w:rFonts w:hint="default" w:ascii="仿宋_GB2312" w:eastAsia="仿宋_GB2312"/>
          <w:sz w:val="32"/>
          <w:szCs w:val="40"/>
          <w:lang w:eastAsia="zh-CN"/>
        </w:rPr>
        <w:t>水环境保护工作的理解与支持。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二、特色宣传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围绕海洋生态环境保护工作，我局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举办了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关注海洋生态环境、共筑美丽深圳湾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宣传活动，吸引了逾3000名市民积极参与，通过海洋生物生态展示、VR系统体验和宣传展板展示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，市民们得以更深入地了解海洋生态系统的奥秘、海洋生物的保护现状以及海洋环保的重要性。这场活动不仅富有趣味性，更有效地提升了公众对海洋环境保护的认知度和参与热情。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此外，我局连续举办了两届“福獭杯”生态主持人选拔活动，吸引了超50所学校近600名选手踊跃报名参赛。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主题演讲的方式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选手们重点围绕生物多样性保护、无废城市建设、水生态环境保护等主题展开精彩的演讲。活动的成功举办，提高了中小学生对水生态环境保护的认识，也激发了他们参与保护水生态环境的热情。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                       深圳市生态环境局福田管理局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8"/>
        <w:widowControl/>
        <w:ind w:firstLine="640"/>
        <w:rPr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（联系人：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余佳盈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、黄继业；电话：82998667、82549539）</w:t>
      </w:r>
    </w:p>
    <w:p>
      <w:pPr>
        <w:spacing w:line="20" w:lineRule="exact"/>
        <w:rPr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C747B7"/>
    <w:multiLevelType w:val="multilevel"/>
    <w:tmpl w:val="40C747B7"/>
    <w:lvl w:ilvl="0" w:tentative="0">
      <w:start w:val="1"/>
      <w:numFmt w:val="decimal"/>
      <w:pStyle w:val="2"/>
      <w:lvlText w:val="%1"/>
      <w:lvlJc w:val="left"/>
      <w:pPr>
        <w:ind w:left="420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0" w:firstLine="0"/>
      </w:pPr>
    </w:lvl>
    <w:lvl w:ilvl="2" w:tentative="0">
      <w:start w:val="1"/>
      <w:numFmt w:val="decimal"/>
      <w:lvlText w:val="%1.%2.%3"/>
      <w:lvlJc w:val="left"/>
      <w:pPr>
        <w:ind w:left="704" w:hanging="14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7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4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5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8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09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FBEE2"/>
    <w:rsid w:val="1FF67128"/>
    <w:rsid w:val="31F374BD"/>
    <w:rsid w:val="37FB59C8"/>
    <w:rsid w:val="3A77DB31"/>
    <w:rsid w:val="3DFC3E1F"/>
    <w:rsid w:val="57DFCC60"/>
    <w:rsid w:val="5EDFBAD4"/>
    <w:rsid w:val="6F1FBEE2"/>
    <w:rsid w:val="73BBD200"/>
    <w:rsid w:val="77DF9F91"/>
    <w:rsid w:val="7BEF8717"/>
    <w:rsid w:val="A83A0A1F"/>
    <w:rsid w:val="B3BFAF7B"/>
    <w:rsid w:val="BEF7B8C8"/>
    <w:rsid w:val="DB7F7010"/>
    <w:rsid w:val="DDEF3156"/>
    <w:rsid w:val="F9FF3693"/>
    <w:rsid w:val="F9FFD0BA"/>
    <w:rsid w:val="FB6F8ECD"/>
    <w:rsid w:val="FBBF875B"/>
    <w:rsid w:val="FCFFC6C7"/>
    <w:rsid w:val="FD9E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ind w:firstLine="0" w:firstLineChars="0"/>
      <w:outlineLvl w:val="0"/>
    </w:pPr>
    <w:rPr>
      <w:rFonts w:eastAsia="黑体" w:cs="Times New Roman"/>
      <w:bCs/>
      <w:kern w:val="44"/>
      <w:sz w:val="36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next w:val="5"/>
    <w:unhideWhenUsed/>
    <w:qFormat/>
    <w:uiPriority w:val="99"/>
    <w:pPr>
      <w:widowControl w:val="0"/>
      <w:ind w:left="921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5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kern w:val="2"/>
      <w:sz w:val="21"/>
      <w:szCs w:val="32"/>
      <w:lang w:val="en-US" w:eastAsia="zh-CN" w:bidi="ar-SA"/>
    </w:rPr>
  </w:style>
  <w:style w:type="paragraph" w:customStyle="1" w:styleId="8">
    <w:name w:val="FT正文1"/>
    <w:qFormat/>
    <w:uiPriority w:val="0"/>
    <w:pPr>
      <w:spacing w:line="560" w:lineRule="exact"/>
      <w:ind w:firstLine="880" w:firstLineChars="200"/>
      <w:jc w:val="both"/>
    </w:pPr>
    <w:rPr>
      <w:rFonts w:ascii="仿宋_GB2312" w:hAnsi="仿宋_GB2312" w:eastAsia="仿宋_GB2312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2024-06-17T15:27:00Z</dcterms:created>
  <dc:creator>kylin</dc:creator>
  <cp:lastModifiedBy>luobeier</cp:lastModifiedBy>
  <cp:lastPrinted>2024-06-22T08:03:00Z</cp:lastPrinted>
  <dcterms:modified xsi:type="dcterms:W3CDTF">2025-12-22T14:22:09Z</dcterms:modified>
  <dc:title>深圳市生态环境局福田管理局关于区八届人大四次会议代表建议第20240088号的答复意见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186DB25461B215E02B8F73668619C435</vt:lpwstr>
  </property>
</Properties>
</file>