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22" w:type="dxa"/>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841"/>
        <w:gridCol w:w="1225"/>
        <w:gridCol w:w="8462"/>
      </w:tblGrid>
      <w:tr w14:paraId="30C0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2" w:type="dxa"/>
            <w:gridSpan w:val="4"/>
          </w:tcPr>
          <w:p w14:paraId="45DBD47B">
            <w:pPr>
              <w:jc w:val="center"/>
              <w:rPr>
                <w:rFonts w:hint="default" w:eastAsiaTheme="minorEastAsia"/>
                <w:sz w:val="32"/>
                <w:szCs w:val="32"/>
                <w:vertAlign w:val="baseline"/>
                <w:lang w:val="en-US" w:eastAsia="zh-CN"/>
              </w:rPr>
            </w:pPr>
            <w:r>
              <w:rPr>
                <w:rFonts w:hint="eastAsia"/>
                <w:sz w:val="32"/>
                <w:szCs w:val="32"/>
                <w:lang w:val="en-US" w:eastAsia="zh-CN"/>
              </w:rPr>
              <w:t>《福田区休闲骑行道建设三年行动计划（2025-2027年）（征求意见稿）》重大行政决策听证会非部门陈述人（听证参加人）意见采纳情况表</w:t>
            </w:r>
          </w:p>
        </w:tc>
      </w:tr>
      <w:tr w14:paraId="48C3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4" w:type="dxa"/>
            <w:vAlign w:val="center"/>
          </w:tcPr>
          <w:p w14:paraId="54784F2F">
            <w:pPr>
              <w:jc w:val="center"/>
              <w:rPr>
                <w:rFonts w:hint="default" w:eastAsiaTheme="minorEastAsia"/>
                <w:b/>
                <w:bCs/>
                <w:sz w:val="21"/>
                <w:szCs w:val="21"/>
                <w:vertAlign w:val="baseline"/>
                <w:lang w:val="en-US" w:eastAsia="zh-CN"/>
              </w:rPr>
            </w:pPr>
            <w:r>
              <w:rPr>
                <w:rFonts w:hint="eastAsia"/>
                <w:b/>
                <w:bCs/>
                <w:sz w:val="21"/>
                <w:szCs w:val="21"/>
                <w:vertAlign w:val="baseline"/>
                <w:lang w:val="en-US" w:eastAsia="zh-CN"/>
              </w:rPr>
              <w:t>序号</w:t>
            </w:r>
          </w:p>
        </w:tc>
        <w:tc>
          <w:tcPr>
            <w:tcW w:w="4841" w:type="dxa"/>
            <w:vAlign w:val="center"/>
          </w:tcPr>
          <w:p w14:paraId="2974473A">
            <w:pPr>
              <w:jc w:val="center"/>
              <w:rPr>
                <w:rFonts w:hint="default" w:eastAsiaTheme="minorEastAsia"/>
                <w:b/>
                <w:bCs/>
                <w:sz w:val="21"/>
                <w:szCs w:val="21"/>
                <w:vertAlign w:val="baseline"/>
                <w:lang w:val="en-US" w:eastAsia="zh-CN"/>
              </w:rPr>
            </w:pPr>
            <w:r>
              <w:rPr>
                <w:rFonts w:hint="eastAsia"/>
                <w:b/>
                <w:bCs/>
                <w:sz w:val="21"/>
                <w:szCs w:val="21"/>
                <w:vertAlign w:val="baseline"/>
                <w:lang w:val="en-US" w:eastAsia="zh-CN"/>
              </w:rPr>
              <w:t>相关意见</w:t>
            </w:r>
          </w:p>
        </w:tc>
        <w:tc>
          <w:tcPr>
            <w:tcW w:w="1225" w:type="dxa"/>
            <w:vAlign w:val="center"/>
          </w:tcPr>
          <w:p w14:paraId="03E7BE6F">
            <w:pPr>
              <w:jc w:val="center"/>
              <w:rPr>
                <w:rFonts w:hint="default" w:eastAsiaTheme="minorEastAsia"/>
                <w:b/>
                <w:bCs/>
                <w:sz w:val="21"/>
                <w:szCs w:val="21"/>
                <w:vertAlign w:val="baseline"/>
                <w:lang w:val="en-US" w:eastAsia="zh-CN"/>
              </w:rPr>
            </w:pPr>
            <w:r>
              <w:rPr>
                <w:rFonts w:hint="eastAsia"/>
                <w:b/>
                <w:bCs/>
                <w:sz w:val="21"/>
                <w:szCs w:val="21"/>
                <w:vertAlign w:val="baseline"/>
                <w:lang w:val="en-US" w:eastAsia="zh-CN"/>
              </w:rPr>
              <w:t>采纳情况</w:t>
            </w:r>
          </w:p>
        </w:tc>
        <w:tc>
          <w:tcPr>
            <w:tcW w:w="8462" w:type="dxa"/>
            <w:vAlign w:val="center"/>
          </w:tcPr>
          <w:p w14:paraId="193AC635">
            <w:pPr>
              <w:jc w:val="center"/>
              <w:rPr>
                <w:rFonts w:hint="default" w:eastAsiaTheme="minorEastAsia"/>
                <w:b/>
                <w:bCs/>
                <w:sz w:val="21"/>
                <w:szCs w:val="21"/>
                <w:vertAlign w:val="baseline"/>
                <w:lang w:val="en-US" w:eastAsia="zh-CN"/>
              </w:rPr>
            </w:pPr>
            <w:r>
              <w:rPr>
                <w:rFonts w:hint="eastAsia"/>
                <w:b/>
                <w:bCs/>
                <w:sz w:val="21"/>
                <w:szCs w:val="21"/>
                <w:vertAlign w:val="baseline"/>
                <w:lang w:val="en-US" w:eastAsia="zh-CN"/>
              </w:rPr>
              <w:t>意见回复</w:t>
            </w:r>
          </w:p>
        </w:tc>
      </w:tr>
      <w:tr w14:paraId="7C5B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594" w:type="dxa"/>
            <w:vAlign w:val="center"/>
          </w:tcPr>
          <w:p w14:paraId="66290BC0">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4841" w:type="dxa"/>
            <w:vAlign w:val="center"/>
          </w:tcPr>
          <w:p w14:paraId="2B474EEE">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建议在休闲骑行道建设中融入福田区的自身特色元素，彰显福田风貌。同时，注重骑行道建设的风格统一，与周边环境相融合</w:t>
            </w:r>
          </w:p>
        </w:tc>
        <w:tc>
          <w:tcPr>
            <w:tcW w:w="1225" w:type="dxa"/>
            <w:vAlign w:val="center"/>
          </w:tcPr>
          <w:p w14:paraId="740D7A8E">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采纳</w:t>
            </w:r>
          </w:p>
        </w:tc>
        <w:tc>
          <w:tcPr>
            <w:tcW w:w="8462" w:type="dxa"/>
            <w:vAlign w:val="center"/>
          </w:tcPr>
          <w:p w14:paraId="4636C346">
            <w:pPr>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项目在前期的方案设计中充分考虑了福田特有的山水资源、公园布局以及居民骑行习惯等问题，在线路的选择上也注意选择具有一定文化历史底蕴的建筑周边，后续在具体执行过程中会充分考虑听证参加人的意见，对福田风貌凸显这一问题上进一步细化实施方案。</w:t>
            </w:r>
          </w:p>
        </w:tc>
      </w:tr>
      <w:tr w14:paraId="2FA8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94" w:type="dxa"/>
            <w:vAlign w:val="center"/>
          </w:tcPr>
          <w:p w14:paraId="4D669C3A">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4841" w:type="dxa"/>
            <w:vAlign w:val="center"/>
          </w:tcPr>
          <w:p w14:paraId="1120CDD9">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希望方案在后续落地时充分考虑通达性和便利度</w:t>
            </w:r>
          </w:p>
        </w:tc>
        <w:tc>
          <w:tcPr>
            <w:tcW w:w="1225" w:type="dxa"/>
            <w:vAlign w:val="center"/>
          </w:tcPr>
          <w:p w14:paraId="348B406E">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采纳</w:t>
            </w:r>
          </w:p>
        </w:tc>
        <w:tc>
          <w:tcPr>
            <w:tcW w:w="8462" w:type="dxa"/>
            <w:vAlign w:val="center"/>
          </w:tcPr>
          <w:p w14:paraId="26224464">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本次骑行道三年行动计划充分考虑了目前已经存在的骑行道布局不合理、通达性不够的情况，所以提出整体构建“骑揽福田，破风五环”休闲骑游体系，以增强市民的骑行舒适度。</w:t>
            </w:r>
          </w:p>
        </w:tc>
      </w:tr>
      <w:tr w14:paraId="4396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94" w:type="dxa"/>
            <w:vAlign w:val="center"/>
          </w:tcPr>
          <w:p w14:paraId="1B1B0FE0">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4841" w:type="dxa"/>
            <w:vAlign w:val="center"/>
          </w:tcPr>
          <w:p w14:paraId="3CB98157">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建议利用休闲骑行道举行多元赛事及文化活动，鼓励全民共建共享</w:t>
            </w:r>
          </w:p>
        </w:tc>
        <w:tc>
          <w:tcPr>
            <w:tcW w:w="1225" w:type="dxa"/>
            <w:vAlign w:val="center"/>
          </w:tcPr>
          <w:p w14:paraId="03E55F9F">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采纳</w:t>
            </w:r>
          </w:p>
        </w:tc>
        <w:tc>
          <w:tcPr>
            <w:tcW w:w="8462" w:type="dxa"/>
            <w:vAlign w:val="center"/>
          </w:tcPr>
          <w:p w14:paraId="363B8A88">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在具体运营阶段，将会充分考虑在条件允许的情况下开展多元活动及赛事，促进全面共享共治。 </w:t>
            </w:r>
          </w:p>
        </w:tc>
      </w:tr>
      <w:tr w14:paraId="278B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94" w:type="dxa"/>
            <w:vAlign w:val="center"/>
          </w:tcPr>
          <w:p w14:paraId="0A5A1612">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4841" w:type="dxa"/>
            <w:vAlign w:val="center"/>
          </w:tcPr>
          <w:p w14:paraId="5AD20CB3">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建议制定相关预案预防或解决施工过程中对沿线居民日常生活的影响</w:t>
            </w:r>
          </w:p>
        </w:tc>
        <w:tc>
          <w:tcPr>
            <w:tcW w:w="1225" w:type="dxa"/>
            <w:vAlign w:val="center"/>
          </w:tcPr>
          <w:p w14:paraId="341DF90A">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采纳</w:t>
            </w:r>
          </w:p>
        </w:tc>
        <w:tc>
          <w:tcPr>
            <w:tcW w:w="8462" w:type="dxa"/>
            <w:vAlign w:val="center"/>
          </w:tcPr>
          <w:p w14:paraId="4F0E89B5">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休闲骑行道实施将由多个部门联动，确保建设施工手续合法，同时要求施工单位制定安全文明施工方案，并严格控制施工行为对周边环境及居民的影响。</w:t>
            </w:r>
          </w:p>
        </w:tc>
      </w:tr>
      <w:tr w14:paraId="421C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94" w:type="dxa"/>
            <w:vAlign w:val="center"/>
          </w:tcPr>
          <w:p w14:paraId="3701D57A">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4841" w:type="dxa"/>
            <w:vAlign w:val="center"/>
          </w:tcPr>
          <w:p w14:paraId="46925733">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各阶段骑行道路况不同，建议根据沿线不同路况对骑行道进行分级并向市民提示风险</w:t>
            </w:r>
            <w:bookmarkStart w:id="0" w:name="_GoBack"/>
            <w:bookmarkEnd w:id="0"/>
          </w:p>
        </w:tc>
        <w:tc>
          <w:tcPr>
            <w:tcW w:w="1225" w:type="dxa"/>
            <w:vAlign w:val="center"/>
          </w:tcPr>
          <w:p w14:paraId="0052F475">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采纳</w:t>
            </w:r>
          </w:p>
        </w:tc>
        <w:tc>
          <w:tcPr>
            <w:tcW w:w="8462" w:type="dxa"/>
            <w:vAlign w:val="center"/>
          </w:tcPr>
          <w:p w14:paraId="6B58C09D">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将进一步对方案进行完善，在后续执行过程中会充分考虑类似的便民需求。</w:t>
            </w:r>
          </w:p>
        </w:tc>
      </w:tr>
      <w:tr w14:paraId="7ED8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14:paraId="220204B6">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4841" w:type="dxa"/>
            <w:vAlign w:val="center"/>
          </w:tcPr>
          <w:p w14:paraId="22CEBAC2">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增强骑行道配套的公共服务设施建设，考虑深圳炎热多雨天气，充分考虑遮阴及避雨需求。设立指示牌、应急救援、休息站、救助站等</w:t>
            </w:r>
          </w:p>
        </w:tc>
        <w:tc>
          <w:tcPr>
            <w:tcW w:w="1225" w:type="dxa"/>
            <w:vAlign w:val="center"/>
          </w:tcPr>
          <w:p w14:paraId="43DC6BC9">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采纳</w:t>
            </w:r>
          </w:p>
        </w:tc>
        <w:tc>
          <w:tcPr>
            <w:tcW w:w="8462" w:type="dxa"/>
            <w:vAlign w:val="center"/>
          </w:tcPr>
          <w:p w14:paraId="38704F3F">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将结合专家论证阶段专家组提出的类似意见，进一步细化方案，并在运营阶段具体落实。</w:t>
            </w:r>
          </w:p>
        </w:tc>
      </w:tr>
    </w:tbl>
    <w:p w14:paraId="516DC0D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E7A95"/>
    <w:rsid w:val="7B9E7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2025-10-29T10:09:00Z</dcterms:created>
  <dc:creator>陈燕</dc:creator>
  <cp:lastModifiedBy>陈燕</cp:lastModifiedBy>
  <dcterms:modified xsi:type="dcterms:W3CDTF">2025-10-29T10:15:30Z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8668555BDB624D7A9091686C1CBBECE4_11</vt:lpwstr>
  </property>
  <property fmtid="{D5CDD505-2E9C-101B-9397-08002B2CF9AE}" pid="4" name="KSOTemplateDocerSaveRecord">
    <vt:lpwstr>eyJoZGlkIjoiNDQyZjMzYzk5NWVhNWY0N2M1MWFlZTM5NzljODU1MjUiLCJ1c2VySWQiOiIyNzg0MzMwMjEifQ==</vt:lpwstr>
  </property>
</Properties>
</file>