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39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40"/>
          <w:szCs w:val="40"/>
        </w:rPr>
        <w:t>2025年福田区城市管理和综合执法局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对餐厨垃圾收运企业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双随机检查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结果公示表</w:t>
      </w:r>
    </w:p>
    <w:tbl>
      <w:tblPr>
        <w:tblStyle w:val="6"/>
        <w:tblpPr w:leftFromText="180" w:rightFromText="180" w:vertAnchor="page" w:horzAnchor="page" w:tblpXSpec="center" w:tblpY="3492"/>
        <w:tblOverlap w:val="never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266"/>
        <w:gridCol w:w="1558"/>
        <w:gridCol w:w="1200"/>
        <w:gridCol w:w="3990"/>
        <w:gridCol w:w="1275"/>
      </w:tblGrid>
      <w:tr w14:paraId="65C9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66" w:type="dxa"/>
            <w:noWrap/>
            <w:vAlign w:val="center"/>
          </w:tcPr>
          <w:p w14:paraId="2514E25D">
            <w:pPr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6" w:type="dxa"/>
            <w:noWrap/>
            <w:vAlign w:val="center"/>
          </w:tcPr>
          <w:p w14:paraId="7F0F028E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检查对象</w:t>
            </w:r>
          </w:p>
        </w:tc>
        <w:tc>
          <w:tcPr>
            <w:tcW w:w="1558" w:type="dxa"/>
            <w:noWrap/>
            <w:vAlign w:val="center"/>
          </w:tcPr>
          <w:p w14:paraId="0152915E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检查地址</w:t>
            </w:r>
          </w:p>
        </w:tc>
        <w:tc>
          <w:tcPr>
            <w:tcW w:w="1200" w:type="dxa"/>
            <w:noWrap/>
            <w:vAlign w:val="center"/>
          </w:tcPr>
          <w:p w14:paraId="2758A56F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检查时间</w:t>
            </w:r>
          </w:p>
        </w:tc>
        <w:tc>
          <w:tcPr>
            <w:tcW w:w="3990" w:type="dxa"/>
            <w:noWrap/>
            <w:vAlign w:val="center"/>
          </w:tcPr>
          <w:p w14:paraId="4F757743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检查内容</w:t>
            </w:r>
          </w:p>
        </w:tc>
        <w:tc>
          <w:tcPr>
            <w:tcW w:w="1275" w:type="dxa"/>
            <w:noWrap/>
            <w:vAlign w:val="center"/>
          </w:tcPr>
          <w:p w14:paraId="6EED70BA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监督抽查结果</w:t>
            </w:r>
          </w:p>
        </w:tc>
      </w:tr>
      <w:tr w14:paraId="5F4B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  <w:jc w:val="center"/>
        </w:trPr>
        <w:tc>
          <w:tcPr>
            <w:tcW w:w="566" w:type="dxa"/>
            <w:noWrap/>
            <w:vAlign w:val="center"/>
          </w:tcPr>
          <w:p w14:paraId="7F662BCB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noWrap/>
            <w:vAlign w:val="center"/>
          </w:tcPr>
          <w:p w14:paraId="0A011D82"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中兴恒熙环保有限公司</w:t>
            </w:r>
          </w:p>
        </w:tc>
        <w:tc>
          <w:tcPr>
            <w:tcW w:w="1558" w:type="dxa"/>
            <w:noWrap/>
            <w:vAlign w:val="center"/>
          </w:tcPr>
          <w:p w14:paraId="7F7CA589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</w:rPr>
              <w:t>深圳市福田区梅林街道孖岭社区梅坳三路与梅坳五路交汇处</w:t>
            </w:r>
          </w:p>
        </w:tc>
        <w:tc>
          <w:tcPr>
            <w:tcW w:w="1200" w:type="dxa"/>
            <w:noWrap/>
            <w:vAlign w:val="center"/>
          </w:tcPr>
          <w:p w14:paraId="197C5A4E"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202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仿宋"/>
                <w:sz w:val="24"/>
                <w:szCs w:val="24"/>
              </w:rPr>
              <w:t>年</w:t>
            </w:r>
          </w:p>
          <w:p w14:paraId="50C5CB31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990" w:type="dxa"/>
            <w:noWrap/>
            <w:vAlign w:val="center"/>
          </w:tcPr>
          <w:p w14:paraId="5267AA08"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3911"/>
              </w:tabs>
              <w:spacing w:beforeLines="0" w:afterLines="0" w:line="460" w:lineRule="exact"/>
              <w:jc w:val="both"/>
              <w:outlineLvl w:val="9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u w:val="none"/>
                <w:shd w:val="clear" w:fill="auto"/>
                <w:lang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u w:val="none"/>
                <w:shd w:val="clear" w:fill="auto"/>
                <w:lang w:bidi="ar"/>
              </w:rPr>
              <w:t>（一）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u w:val="none"/>
                <w:shd w:val="clear" w:fill="auto"/>
                <w:lang w:val="en-US" w:eastAsia="zh-CN" w:bidi="ar"/>
              </w:rPr>
              <w:t>是否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u w:val="none"/>
                <w:shd w:val="clear" w:fill="auto"/>
                <w:lang w:bidi="ar"/>
              </w:rPr>
              <w:t>将经营权转包给其他企业或者个人经营的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u w:val="none"/>
                <w:shd w:val="clear" w:fill="auto"/>
                <w:lang w:val="en-US" w:eastAsia="zh-CN" w:bidi="ar"/>
              </w:rPr>
              <w:t>检查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u w:val="none"/>
                <w:shd w:val="clear" w:fill="auto"/>
                <w:lang w:bidi="ar"/>
              </w:rPr>
              <w:t>；</w:t>
            </w:r>
          </w:p>
          <w:p w14:paraId="236D9514"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3911"/>
              </w:tabs>
              <w:spacing w:beforeLines="0" w:afterLines="0" w:line="460" w:lineRule="exact"/>
              <w:jc w:val="both"/>
              <w:outlineLvl w:val="9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u w:val="none"/>
                <w:shd w:val="clear" w:fill="auto"/>
                <w:lang w:bidi="ar"/>
              </w:rPr>
              <w:t>（二）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u w:val="none"/>
                <w:shd w:val="clear" w:fill="auto"/>
                <w:lang w:val="en-US" w:eastAsia="zh-CN" w:bidi="ar"/>
              </w:rPr>
              <w:t>是否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u w:val="none"/>
                <w:shd w:val="clear" w:fill="auto"/>
                <w:lang w:bidi="ar"/>
              </w:rPr>
              <w:t>擅自转让、质押经营权的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u w:val="none"/>
                <w:shd w:val="clear" w:fill="auto"/>
                <w:lang w:val="en-US" w:eastAsia="zh-CN" w:bidi="ar"/>
              </w:rPr>
              <w:t>检查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u w:val="none"/>
                <w:shd w:val="clear" w:fill="auto"/>
                <w:lang w:bidi="ar"/>
              </w:rPr>
              <w:t>；</w:t>
            </w:r>
          </w:p>
          <w:p w14:paraId="1C5C1CCB"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3911"/>
              </w:tabs>
              <w:spacing w:beforeLines="0" w:afterLines="0" w:line="460" w:lineRule="exact"/>
              <w:jc w:val="both"/>
              <w:outlineLvl w:val="9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bidi="ar"/>
              </w:rPr>
              <w:t>（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val="en-US" w:eastAsia="zh-CN" w:bidi="ar"/>
              </w:rPr>
              <w:t>三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bidi="ar"/>
              </w:rPr>
              <w:t>）实行完全密闭化运输，在运输过程中不得滴漏、撒落，在转运期间不得裸露存放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val="en-US" w:eastAsia="zh-CN" w:bidi="ar"/>
              </w:rPr>
              <w:t>的检查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bidi="ar"/>
              </w:rPr>
              <w:t>；</w:t>
            </w:r>
          </w:p>
          <w:p w14:paraId="16A1E81E"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3911"/>
              </w:tabs>
              <w:spacing w:beforeLines="0" w:afterLines="0" w:line="460" w:lineRule="exact"/>
              <w:jc w:val="both"/>
              <w:outlineLvl w:val="9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bidi="ar"/>
              </w:rPr>
              <w:t>（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val="en-US" w:eastAsia="zh-CN" w:bidi="ar"/>
              </w:rPr>
              <w:t>四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bidi="ar"/>
              </w:rPr>
              <w:t>）设置并定期检测餐厨垃圾计量系统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val="en-US" w:eastAsia="zh-CN" w:bidi="ar"/>
              </w:rPr>
              <w:t>的检查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bidi="ar"/>
              </w:rPr>
              <w:t>；</w:t>
            </w:r>
          </w:p>
          <w:p w14:paraId="3B6DBE44"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3911"/>
              </w:tabs>
              <w:spacing w:beforeLines="0" w:afterLines="0" w:line="460" w:lineRule="exact"/>
              <w:jc w:val="both"/>
              <w:outlineLvl w:val="9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bidi="ar"/>
              </w:rPr>
              <w:t>（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val="en-US" w:eastAsia="zh-CN" w:bidi="ar"/>
              </w:rPr>
              <w:t>五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bidi="ar"/>
              </w:rPr>
              <w:t>）健全安全管理制度，配备安全设施，制定安全应急预案，确保处理设施安全运行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val="en-US" w:eastAsia="zh-CN" w:bidi="ar"/>
              </w:rPr>
              <w:t>的检查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bidi="ar"/>
              </w:rPr>
              <w:t>；</w:t>
            </w:r>
          </w:p>
          <w:p w14:paraId="7C3FF072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bidi="ar"/>
              </w:rPr>
              <w:t>（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val="en-US" w:eastAsia="zh-CN" w:bidi="ar"/>
              </w:rPr>
              <w:t>六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bidi="ar"/>
              </w:rPr>
              <w:t>）维护处置场所的市容环境卫生，在处理过程中应当采取有效的污染防治措施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val="en-US" w:eastAsia="zh-CN" w:bidi="ar"/>
              </w:rPr>
              <w:t>的检查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fill="auto"/>
                <w:lang w:eastAsia="zh-CN" w:bidi="ar"/>
              </w:rPr>
              <w:t>。</w:t>
            </w:r>
          </w:p>
        </w:tc>
        <w:tc>
          <w:tcPr>
            <w:tcW w:w="1275" w:type="dxa"/>
            <w:noWrap/>
            <w:vAlign w:val="center"/>
          </w:tcPr>
          <w:p w14:paraId="0C27CEC6"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未发现</w:t>
            </w:r>
          </w:p>
          <w:p w14:paraId="3A02472D"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问题</w:t>
            </w:r>
          </w:p>
        </w:tc>
      </w:tr>
      <w:bookmarkEnd w:id="0"/>
    </w:tbl>
    <w:p w14:paraId="6263D068">
      <w:pPr>
        <w:bidi w:val="0"/>
        <w:jc w:val="left"/>
        <w:rPr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75D8CC0-B9E2-4D68-87A8-ADD037B8F7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5A7373-C7A3-47C4-A9EA-83E4558E658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269F3A35-00A0-470A-92FB-938D8378C3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NWU0MGU5NDIxMDM1MzQ2ODViNjVkOWY3NDE1MmMifQ=="/>
  </w:docVars>
  <w:rsids>
    <w:rsidRoot w:val="21BA2E1F"/>
    <w:rsid w:val="00016851"/>
    <w:rsid w:val="000B4CDB"/>
    <w:rsid w:val="00102904"/>
    <w:rsid w:val="005B7F3C"/>
    <w:rsid w:val="00716E1D"/>
    <w:rsid w:val="0082231B"/>
    <w:rsid w:val="00C75F1F"/>
    <w:rsid w:val="00E027FB"/>
    <w:rsid w:val="00E61F41"/>
    <w:rsid w:val="00EB10FD"/>
    <w:rsid w:val="0E8171EF"/>
    <w:rsid w:val="0F4D2EE6"/>
    <w:rsid w:val="14781FCC"/>
    <w:rsid w:val="1C4F709D"/>
    <w:rsid w:val="211321B7"/>
    <w:rsid w:val="21BA2E1F"/>
    <w:rsid w:val="2C7E1B5D"/>
    <w:rsid w:val="31D35698"/>
    <w:rsid w:val="3351443E"/>
    <w:rsid w:val="36102ECE"/>
    <w:rsid w:val="365C7122"/>
    <w:rsid w:val="36E743C0"/>
    <w:rsid w:val="3C5E0136"/>
    <w:rsid w:val="4251506E"/>
    <w:rsid w:val="4345500C"/>
    <w:rsid w:val="4A3E0B06"/>
    <w:rsid w:val="4D27157A"/>
    <w:rsid w:val="4D2F41FE"/>
    <w:rsid w:val="4EC711FE"/>
    <w:rsid w:val="539275B6"/>
    <w:rsid w:val="5FF67050"/>
    <w:rsid w:val="60CC028A"/>
    <w:rsid w:val="6272756B"/>
    <w:rsid w:val="6C763D3D"/>
    <w:rsid w:val="6CFA1A39"/>
    <w:rsid w:val="6D667370"/>
    <w:rsid w:val="72E82CCC"/>
    <w:rsid w:val="772D227B"/>
    <w:rsid w:val="788259A6"/>
    <w:rsid w:val="7EE47F0A"/>
    <w:rsid w:val="7F7F68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6"/>
      <w:szCs w:val="26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297</Words>
  <Characters>304</Characters>
  <Lines>2</Lines>
  <Paragraphs>1</Paragraphs>
  <TotalTime>9</TotalTime>
  <ScaleCrop>false</ScaleCrop>
  <LinksUpToDate>false</LinksUpToDate>
  <CharactersWithSpaces>304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2021-11-19T03:14:00Z</dcterms:created>
  <dc:creator>457349464946467695</dc:creator>
  <cp:lastModifiedBy>hsiun</cp:lastModifiedBy>
  <cp:lastPrinted>2023-09-11T08:34:00Z</cp:lastPrinted>
  <dcterms:modified xsi:type="dcterms:W3CDTF">2025-10-23T09:27:22Z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2CBC65C9EF704D9EA4ADB008F2EEDEC3_13</vt:lpwstr>
  </property>
  <property fmtid="{D5CDD505-2E9C-101B-9397-08002B2CF9AE}" pid="4" name="KSOTemplateDocerSaveRecord">
    <vt:lpwstr>eyJoZGlkIjoiMjM4MTc1ZmU0ZGVhYTkyYzZhNmY4OGNhNjRkMjYzYzgiLCJ1c2VySWQiOiIxMTMzNzM5ODEyIn0=</vt:lpwstr>
  </property>
</Properties>
</file>