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7497"/>
        </w:tabs>
        <w:spacing w:beforeAutospacing="1" w:after="100" w:afterLines="50" w:afterAutospacing="1" w:line="600" w:lineRule="exact"/>
        <w:jc w:val="both"/>
        <w:rPr>
          <w:rFonts w:hint="eastAsia" w:ascii="方正小标宋简体" w:hAnsi="方正小标宋简体" w:eastAsia="方正小标宋简体" w:cs="方正小标宋简体"/>
          <w:color w:val="000000"/>
          <w:sz w:val="28"/>
          <w:szCs w:val="28"/>
          <w:highlight w:val="none"/>
          <w:lang w:val="en-US" w:eastAsia="zh-CN"/>
        </w:rPr>
      </w:pPr>
      <w:r>
        <w:rPr>
          <w:rFonts w:hint="eastAsia" w:ascii="方正小标宋_GBK" w:hAnsi="方正小标宋_GBK" w:eastAsia="方正小标宋_GBK" w:cs="方正小标宋_GBK"/>
          <w:bCs/>
          <w:kern w:val="0"/>
          <w:sz w:val="28"/>
          <w:szCs w:val="28"/>
          <w:highlight w:val="none"/>
          <w:lang w:val="en-US" w:eastAsia="zh-CN" w:bidi="ar-SA"/>
        </w:rPr>
        <w:t>附件1</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color w:val="000000"/>
          <w:sz w:val="36"/>
          <w:szCs w:val="36"/>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福田区人力资源局服务类事项采购需求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根据有关安排，福田区将承办中国深圳创新创业大赛第九届国际赛美国波士顿海外分站赛。现对该赛事承办服务进行采购，欢迎符合条件的供应商报价。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黑体" w:hAnsi="黑体" w:eastAsia="黑体" w:cs="黑体"/>
          <w:b w:val="0"/>
          <w:bCs w:val="0"/>
          <w:i w:val="0"/>
          <w:caps w:val="0"/>
          <w:color w:val="000000"/>
          <w:spacing w:val="0"/>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b w:val="0"/>
          <w:bCs w:val="0"/>
          <w:i w:val="0"/>
          <w:caps w:val="0"/>
          <w:color w:val="000000"/>
          <w:spacing w:val="0"/>
          <w:sz w:val="28"/>
          <w:szCs w:val="28"/>
          <w:highlight w:val="none"/>
          <w:lang w:val="en-US" w:eastAsia="zh-CN"/>
        </w:rPr>
        <w:t>、采购项目概况</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jc w:val="left"/>
        <w:textAlignment w:val="auto"/>
        <w:rPr>
          <w:rFonts w:hint="default"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中国深圳创新创业大赛第九届国际赛定于2025年8月至12月举办，时间安排如下：8月至9月开放报名，10月举办海外分站赛，11月至12月举办行业决赛、总决赛及来深考察活动。大赛共涉及11个海外赛区，其中福田区承办美国波士顿海外分站赛。承办机构需协助采购单位顺利开展美国波士顿分站相关赛事工作，服务范围包括赛事工作统筹、赛事宣传、项目征集与筛选、组织赛前培训、邀请评委、海外分站赛初选赛事执行、海外分站赛决赛赛事执行、持续开展项目落地对接、奖金发放等，协助做好政务团赴海外参加赛事活动及相关参访活动安排，做好参访点对接，沟通参访内容及主要接访负责人，制定海外参访计划。预算金额：98万元（含税金）。</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二、项目管理和服务要求</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eastAsia" w:ascii="楷体_GB2312" w:eastAsia="楷体_GB2312"/>
          <w:color w:val="auto"/>
          <w:sz w:val="28"/>
          <w:szCs w:val="28"/>
          <w:highlight w:val="none"/>
          <w:lang w:val="en-US" w:eastAsia="zh-CN"/>
        </w:rPr>
      </w:pPr>
      <w:r>
        <w:rPr>
          <w:rFonts w:hint="default" w:ascii="楷体_GB2312" w:eastAsia="楷体_GB2312"/>
          <w:color w:val="auto"/>
          <w:sz w:val="28"/>
          <w:szCs w:val="28"/>
          <w:highlight w:val="none"/>
          <w:lang w:val="en-US" w:eastAsia="zh-CN"/>
        </w:rPr>
        <w:t>（</w:t>
      </w:r>
      <w:r>
        <w:rPr>
          <w:rFonts w:hint="eastAsia" w:ascii="楷体_GB2312" w:eastAsia="楷体_GB2312"/>
          <w:color w:val="auto"/>
          <w:sz w:val="28"/>
          <w:szCs w:val="28"/>
          <w:highlight w:val="none"/>
          <w:lang w:val="en-US" w:eastAsia="zh-CN"/>
        </w:rPr>
        <w:t>一</w:t>
      </w:r>
      <w:r>
        <w:rPr>
          <w:rFonts w:hint="default" w:ascii="楷体_GB2312" w:eastAsia="楷体_GB2312"/>
          <w:color w:val="auto"/>
          <w:sz w:val="28"/>
          <w:szCs w:val="28"/>
          <w:highlight w:val="none"/>
          <w:lang w:val="en-US" w:eastAsia="zh-CN"/>
        </w:rPr>
        <w:t>）服务内容</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b/>
          <w:bCs/>
          <w:color w:val="auto"/>
          <w:kern w:val="2"/>
          <w:sz w:val="28"/>
          <w:szCs w:val="28"/>
          <w:highlight w:val="none"/>
          <w:lang w:val="en-US" w:eastAsia="zh-CN" w:bidi="ar-SA"/>
        </w:rPr>
        <w:t>1.赛事方案制定。</w:t>
      </w:r>
      <w:r>
        <w:rPr>
          <w:rFonts w:hint="default" w:ascii="仿宋_GB2312" w:hAnsi="仿宋_GB2312" w:eastAsia="仿宋_GB2312" w:cs="仿宋_GB2312"/>
          <w:color w:val="auto"/>
          <w:kern w:val="2"/>
          <w:sz w:val="28"/>
          <w:szCs w:val="28"/>
          <w:highlight w:val="none"/>
          <w:lang w:val="en-US" w:eastAsia="zh-CN" w:bidi="ar-SA"/>
        </w:rPr>
        <w:t>承办机构需制定承办的海外分站赛赛事细化方案（包括海外分站赛初选及决赛）、项目手册、赛事详细项目预算、现场策划方案、宣传推广方案等。于合同签订后10个工作日内提交赛事方案、项目概算等，并于每个阶段赛事开始前5个工作日内提交该阶段赛事具体实施方案、宣传推广方案等。</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b/>
          <w:bCs/>
          <w:color w:val="auto"/>
          <w:kern w:val="2"/>
          <w:sz w:val="28"/>
          <w:szCs w:val="28"/>
          <w:highlight w:val="none"/>
          <w:lang w:val="en-US" w:eastAsia="zh-CN" w:bidi="ar-SA"/>
        </w:rPr>
        <w:t>2.赛事沟通协调。</w:t>
      </w:r>
      <w:r>
        <w:rPr>
          <w:rFonts w:hint="default" w:ascii="仿宋_GB2312" w:hAnsi="仿宋_GB2312" w:eastAsia="仿宋_GB2312" w:cs="仿宋_GB2312"/>
          <w:color w:val="auto"/>
          <w:kern w:val="2"/>
          <w:sz w:val="28"/>
          <w:szCs w:val="28"/>
          <w:highlight w:val="none"/>
          <w:lang w:val="en-US" w:eastAsia="zh-CN" w:bidi="ar-SA"/>
        </w:rPr>
        <w:t>对接大赛组委会及各海外分站赛承办机构，落实各项办赛要求，反馈和报告</w:t>
      </w:r>
      <w:r>
        <w:rPr>
          <w:rFonts w:hint="eastAsia" w:ascii="仿宋_GB2312" w:hAnsi="仿宋_GB2312" w:eastAsia="仿宋_GB2312" w:cs="仿宋_GB2312"/>
          <w:color w:val="auto"/>
          <w:kern w:val="2"/>
          <w:sz w:val="28"/>
          <w:szCs w:val="28"/>
          <w:highlight w:val="none"/>
          <w:lang w:val="en-US" w:eastAsia="zh-CN" w:bidi="ar-SA"/>
        </w:rPr>
        <w:t>福田</w:t>
      </w:r>
      <w:r>
        <w:rPr>
          <w:rFonts w:hint="default" w:ascii="仿宋_GB2312" w:hAnsi="仿宋_GB2312" w:eastAsia="仿宋_GB2312" w:cs="仿宋_GB2312"/>
          <w:color w:val="auto"/>
          <w:kern w:val="2"/>
          <w:sz w:val="28"/>
          <w:szCs w:val="28"/>
          <w:highlight w:val="none"/>
          <w:lang w:val="en-US" w:eastAsia="zh-CN" w:bidi="ar-SA"/>
        </w:rPr>
        <w:t>区承办赛事的相关情况，确保</w:t>
      </w:r>
      <w:r>
        <w:rPr>
          <w:rFonts w:hint="eastAsia" w:ascii="仿宋_GB2312" w:hAnsi="仿宋_GB2312" w:eastAsia="仿宋_GB2312" w:cs="仿宋_GB2312"/>
          <w:color w:val="auto"/>
          <w:kern w:val="2"/>
          <w:sz w:val="28"/>
          <w:szCs w:val="28"/>
          <w:highlight w:val="none"/>
          <w:lang w:val="en-US" w:eastAsia="zh-CN" w:bidi="ar-SA"/>
        </w:rPr>
        <w:t>福田</w:t>
      </w:r>
      <w:r>
        <w:rPr>
          <w:rFonts w:hint="default" w:ascii="仿宋_GB2312" w:hAnsi="仿宋_GB2312" w:eastAsia="仿宋_GB2312" w:cs="仿宋_GB2312"/>
          <w:color w:val="auto"/>
          <w:kern w:val="2"/>
          <w:sz w:val="28"/>
          <w:szCs w:val="28"/>
          <w:highlight w:val="none"/>
          <w:lang w:val="en-US" w:eastAsia="zh-CN" w:bidi="ar-SA"/>
        </w:rPr>
        <w:t>区承办赛事符合大赛总体要求，涉及各阶段赛事实施方案、宣传方案、赛事流程、评审规则、评审专家、评审视频、评审结果等材料需报大赛组委会审定及备案；对接采购单位每周召开一次沟通协调会，包括但不限于以现场会议报告、每周周报等形式进行每周的赛事工作汇报。</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b/>
          <w:bCs/>
          <w:color w:val="auto"/>
          <w:kern w:val="2"/>
          <w:sz w:val="28"/>
          <w:szCs w:val="28"/>
          <w:highlight w:val="none"/>
          <w:lang w:val="en-US" w:eastAsia="zh-CN" w:bidi="ar-SA"/>
        </w:rPr>
        <w:t>3.项目征集与分析。</w:t>
      </w:r>
      <w:r>
        <w:rPr>
          <w:rFonts w:hint="default" w:ascii="仿宋_GB2312" w:hAnsi="仿宋_GB2312" w:eastAsia="仿宋_GB2312" w:cs="仿宋_GB2312"/>
          <w:color w:val="auto"/>
          <w:kern w:val="2"/>
          <w:sz w:val="28"/>
          <w:szCs w:val="28"/>
          <w:highlight w:val="none"/>
          <w:lang w:val="en-US" w:eastAsia="zh-CN" w:bidi="ar-SA"/>
        </w:rPr>
        <w:t>承办机构需利用海外分站赛当地资源，通过纸媒等传统媒体、网络新媒体积极宣传推广本次大赛，与</w:t>
      </w:r>
      <w:r>
        <w:rPr>
          <w:rFonts w:hint="eastAsia" w:ascii="仿宋_GB2312" w:hAnsi="仿宋_GB2312" w:eastAsia="仿宋_GB2312" w:cs="仿宋_GB2312"/>
          <w:color w:val="auto"/>
          <w:kern w:val="2"/>
          <w:sz w:val="28"/>
          <w:szCs w:val="28"/>
          <w:highlight w:val="none"/>
          <w:lang w:val="en-US" w:eastAsia="zh-CN" w:bidi="ar-SA"/>
        </w:rPr>
        <w:t>美国波士顿</w:t>
      </w:r>
      <w:r>
        <w:rPr>
          <w:rFonts w:hint="default" w:ascii="仿宋_GB2312" w:hAnsi="仿宋_GB2312" w:eastAsia="仿宋_GB2312" w:cs="仿宋_GB2312"/>
          <w:color w:val="auto"/>
          <w:kern w:val="2"/>
          <w:sz w:val="28"/>
          <w:szCs w:val="28"/>
          <w:highlight w:val="none"/>
          <w:lang w:val="en-US" w:eastAsia="zh-CN" w:bidi="ar-SA"/>
        </w:rPr>
        <w:t>当地及周边地区的知名高校、科研院所、孵化器、产业园区、行业协会和投资机构合作，推介邀请相关创新创业项目进行参赛</w:t>
      </w:r>
      <w:r>
        <w:rPr>
          <w:rFonts w:hint="eastAsia" w:ascii="仿宋_GB2312" w:hAnsi="仿宋_GB2312" w:eastAsia="仿宋_GB2312" w:cs="仿宋_GB2312"/>
          <w:color w:val="auto"/>
          <w:kern w:val="2"/>
          <w:sz w:val="28"/>
          <w:szCs w:val="28"/>
          <w:highlight w:val="none"/>
          <w:lang w:val="en-US" w:eastAsia="zh-CN" w:bidi="ar-SA"/>
        </w:rPr>
        <w:t>，</w:t>
      </w:r>
      <w:r>
        <w:rPr>
          <w:rFonts w:hint="default" w:ascii="仿宋_GB2312" w:hAnsi="仿宋_GB2312" w:eastAsia="仿宋_GB2312" w:cs="仿宋_GB2312"/>
          <w:color w:val="auto"/>
          <w:kern w:val="2"/>
          <w:sz w:val="28"/>
          <w:szCs w:val="28"/>
          <w:highlight w:val="none"/>
          <w:lang w:val="en-US" w:eastAsia="zh-CN" w:bidi="ar-SA"/>
        </w:rPr>
        <w:t>需在报名时间截止前招募不少于150个有效优质项目，原则上</w:t>
      </w:r>
      <w:r>
        <w:rPr>
          <w:rFonts w:hint="eastAsia" w:ascii="仿宋_GB2312" w:hAnsi="仿宋_GB2312" w:eastAsia="仿宋_GB2312" w:cs="仿宋_GB2312"/>
          <w:color w:val="auto"/>
          <w:kern w:val="2"/>
          <w:sz w:val="28"/>
          <w:szCs w:val="28"/>
          <w:highlight w:val="none"/>
          <w:lang w:val="en-US" w:eastAsia="zh-CN" w:bidi="ar-SA"/>
        </w:rPr>
        <w:t>新一代电子信息、数字与时尚、高端装备制造、绿色低碳、新材料、生物医药与健康、海洋经济等7个行业均各不少于20个</w:t>
      </w:r>
      <w:r>
        <w:rPr>
          <w:rFonts w:hint="default" w:ascii="仿宋_GB2312" w:hAnsi="仿宋_GB2312" w:eastAsia="仿宋_GB2312" w:cs="仿宋_GB2312"/>
          <w:color w:val="auto"/>
          <w:kern w:val="2"/>
          <w:sz w:val="28"/>
          <w:szCs w:val="28"/>
          <w:highlight w:val="none"/>
          <w:lang w:val="en-US" w:eastAsia="zh-CN" w:bidi="ar-SA"/>
        </w:rPr>
        <w:t>报名参赛。项目数量、报名截止时间等相关内容以大赛组委会要求为准。承办机构需及时与选手确认报名情况如项目名称、最终报名状态、报名人数、报名人员等信息，并及时将项目征集结果反馈给</w:t>
      </w:r>
      <w:r>
        <w:rPr>
          <w:rFonts w:hint="eastAsia" w:ascii="仿宋_GB2312" w:hAnsi="仿宋_GB2312" w:eastAsia="仿宋_GB2312" w:cs="仿宋_GB2312"/>
          <w:color w:val="auto"/>
          <w:kern w:val="2"/>
          <w:sz w:val="28"/>
          <w:szCs w:val="28"/>
          <w:highlight w:val="none"/>
          <w:lang w:val="en-US" w:eastAsia="zh-CN" w:bidi="ar-SA"/>
        </w:rPr>
        <w:t>采购</w:t>
      </w:r>
      <w:r>
        <w:rPr>
          <w:rFonts w:hint="default" w:ascii="仿宋_GB2312" w:hAnsi="仿宋_GB2312" w:eastAsia="仿宋_GB2312" w:cs="仿宋_GB2312"/>
          <w:color w:val="auto"/>
          <w:kern w:val="2"/>
          <w:sz w:val="28"/>
          <w:szCs w:val="28"/>
          <w:highlight w:val="none"/>
          <w:lang w:val="en-US" w:eastAsia="zh-CN" w:bidi="ar-SA"/>
        </w:rPr>
        <w:t>单位。在完成项目初选的5个工作日内，需梳理项目情况，制定项目分析报告，包括但不限于项目人员学历情况、外籍人员占比、团队成员分析情况、项目技术亮点总结、项目所涉知识产权、项目报名总数、项目数量排名等内容。</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b/>
          <w:bCs/>
          <w:color w:val="auto"/>
          <w:kern w:val="2"/>
          <w:sz w:val="28"/>
          <w:szCs w:val="28"/>
          <w:highlight w:val="none"/>
          <w:lang w:val="en-US" w:eastAsia="zh-CN" w:bidi="ar-SA"/>
        </w:rPr>
        <w:t>4.参赛项目审核。</w:t>
      </w:r>
      <w:r>
        <w:rPr>
          <w:rFonts w:hint="default" w:ascii="仿宋_GB2312" w:hAnsi="仿宋_GB2312" w:eastAsia="仿宋_GB2312" w:cs="仿宋_GB2312"/>
          <w:color w:val="auto"/>
          <w:kern w:val="2"/>
          <w:sz w:val="28"/>
          <w:szCs w:val="28"/>
          <w:highlight w:val="none"/>
          <w:lang w:val="en-US" w:eastAsia="zh-CN" w:bidi="ar-SA"/>
        </w:rPr>
        <w:t>选派具有外语特长、海外工作经验、项目审核经验、熟悉产业发展情况的工作人员成立</w:t>
      </w:r>
      <w:r>
        <w:rPr>
          <w:rFonts w:hint="eastAsia" w:ascii="仿宋_GB2312" w:hAnsi="仿宋_GB2312" w:eastAsia="仿宋_GB2312" w:cs="仿宋_GB2312"/>
          <w:color w:val="auto"/>
          <w:kern w:val="2"/>
          <w:sz w:val="28"/>
          <w:szCs w:val="28"/>
          <w:highlight w:val="none"/>
          <w:lang w:val="en-US" w:eastAsia="zh-CN" w:bidi="ar-SA"/>
        </w:rPr>
        <w:t>7</w:t>
      </w:r>
      <w:r>
        <w:rPr>
          <w:rFonts w:hint="default" w:ascii="仿宋_GB2312" w:hAnsi="仿宋_GB2312" w:eastAsia="仿宋_GB2312" w:cs="仿宋_GB2312"/>
          <w:color w:val="auto"/>
          <w:kern w:val="2"/>
          <w:sz w:val="28"/>
          <w:szCs w:val="28"/>
          <w:highlight w:val="none"/>
          <w:lang w:val="en-US" w:eastAsia="zh-CN" w:bidi="ar-SA"/>
        </w:rPr>
        <w:t>人以上项目审核小组，开展阶段性审核，掌握项目概况，高标准、严要求把控项目征集质量，防止弄虚作假，确保参赛项目符合参赛要求（参赛条件符合且无重复报名、往届未获奖等，结合赛事报名系统中的参赛须知和大赛选手手册要求对项目进行把控），对标历届获奖项目情况，在创新性、落地性、获奖潜力及商业价值等方面综合评估项目质量，美国波士顿分站赛至少有</w:t>
      </w:r>
      <w:r>
        <w:rPr>
          <w:rFonts w:hint="eastAsia" w:ascii="仿宋_GB2312" w:hAnsi="仿宋_GB2312" w:eastAsia="仿宋_GB2312" w:cs="仿宋_GB2312"/>
          <w:color w:val="auto"/>
          <w:kern w:val="2"/>
          <w:sz w:val="28"/>
          <w:szCs w:val="28"/>
          <w:highlight w:val="none"/>
          <w:lang w:val="en-US" w:eastAsia="zh-CN" w:bidi="ar-SA"/>
        </w:rPr>
        <w:t>1</w:t>
      </w:r>
      <w:r>
        <w:rPr>
          <w:rFonts w:hint="default" w:ascii="仿宋_GB2312" w:hAnsi="仿宋_GB2312" w:eastAsia="仿宋_GB2312" w:cs="仿宋_GB2312"/>
          <w:color w:val="auto"/>
          <w:kern w:val="2"/>
          <w:sz w:val="28"/>
          <w:szCs w:val="28"/>
          <w:highlight w:val="none"/>
          <w:lang w:val="en-US" w:eastAsia="zh-CN" w:bidi="ar-SA"/>
        </w:rPr>
        <w:t>个项目晋级总决赛。</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b/>
          <w:bCs/>
          <w:color w:val="auto"/>
          <w:kern w:val="2"/>
          <w:sz w:val="28"/>
          <w:szCs w:val="28"/>
          <w:highlight w:val="none"/>
          <w:lang w:val="en-US" w:eastAsia="zh-CN" w:bidi="ar-SA"/>
        </w:rPr>
        <w:t>5.评审专家团队组建。</w:t>
      </w:r>
      <w:r>
        <w:rPr>
          <w:rFonts w:hint="default" w:ascii="仿宋_GB2312" w:hAnsi="仿宋_GB2312" w:eastAsia="仿宋_GB2312" w:cs="仿宋_GB2312"/>
          <w:color w:val="auto"/>
          <w:kern w:val="2"/>
          <w:sz w:val="28"/>
          <w:szCs w:val="28"/>
          <w:highlight w:val="none"/>
          <w:lang w:val="en-US" w:eastAsia="zh-CN" w:bidi="ar-SA"/>
        </w:rPr>
        <w:t>建立一支权威、具有社会影响力和号召力的专业评审顾问团，为参赛团队从产品思维、技术支撑、创业素养和产业链等领域全方位赋能。</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left"/>
        <w:textAlignment w:val="auto"/>
        <w:rPr>
          <w:rFonts w:hint="default" w:ascii="仿宋_GB2312" w:hAnsi="仿宋_GB2312" w:eastAsia="仿宋_GB2312" w:cs="仿宋_GB2312"/>
          <w:b/>
          <w:bCs/>
          <w:color w:val="auto"/>
          <w:kern w:val="2"/>
          <w:sz w:val="28"/>
          <w:szCs w:val="28"/>
          <w:highlight w:val="none"/>
          <w:lang w:val="en-US" w:eastAsia="zh-CN" w:bidi="ar-SA"/>
        </w:rPr>
      </w:pPr>
      <w:r>
        <w:rPr>
          <w:rFonts w:hint="default" w:ascii="仿宋_GB2312" w:hAnsi="仿宋_GB2312" w:eastAsia="仿宋_GB2312" w:cs="仿宋_GB2312"/>
          <w:b/>
          <w:bCs/>
          <w:color w:val="auto"/>
          <w:kern w:val="2"/>
          <w:sz w:val="28"/>
          <w:szCs w:val="28"/>
          <w:highlight w:val="none"/>
          <w:lang w:val="en-US" w:eastAsia="zh-CN" w:bidi="ar-SA"/>
        </w:rPr>
        <w:t>6.赛事组织执行。</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海外分站赛分为初赛和决赛两个阶段。</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（1）海外分站赛初赛采用通讯评审的模式进行</w:t>
      </w:r>
      <w:r>
        <w:rPr>
          <w:rFonts w:hint="eastAsia" w:ascii="仿宋_GB2312" w:hAnsi="仿宋_GB2312" w:eastAsia="仿宋_GB2312" w:cs="仿宋_GB2312"/>
          <w:color w:val="auto"/>
          <w:kern w:val="2"/>
          <w:sz w:val="28"/>
          <w:szCs w:val="28"/>
          <w:highlight w:val="none"/>
          <w:lang w:val="en-US" w:eastAsia="zh-CN" w:bidi="ar-SA"/>
        </w:rPr>
        <w:t>。承办机构需</w:t>
      </w:r>
      <w:r>
        <w:rPr>
          <w:rFonts w:hint="default" w:ascii="仿宋_GB2312" w:hAnsi="仿宋_GB2312" w:eastAsia="仿宋_GB2312" w:cs="仿宋_GB2312"/>
          <w:color w:val="auto"/>
          <w:kern w:val="2"/>
          <w:sz w:val="28"/>
          <w:szCs w:val="28"/>
          <w:highlight w:val="none"/>
          <w:lang w:val="en-US" w:eastAsia="zh-CN" w:bidi="ar-SA"/>
        </w:rPr>
        <w:t>组织国内专家对项目进行通讯评审，每个项目不少于7名专家评审，其中投资专家不少于4名。根据项目初赛的成绩，由高至低排序，各行业排名前3名的项目晋级海外分站赛决赛。初赛后出具项目遴选和人才遴选报告。</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2）海外分站赛决赛采用答辩方式进行，每个项目评审不少于15分钟（介绍5分钟，面谈10分钟），评审专家由当地技术专家、投资专家组成。每个项目不少于7名专家评审，7名评委中应至少包含1名赛事相关领域的国外正教授或同级及以上研究员</w:t>
      </w:r>
      <w:bookmarkStart w:id="0" w:name="_GoBack"/>
      <w:bookmarkEnd w:id="0"/>
      <w:r>
        <w:rPr>
          <w:rFonts w:hint="default" w:ascii="仿宋_GB2312" w:hAnsi="仿宋_GB2312" w:eastAsia="仿宋_GB2312" w:cs="仿宋_GB2312"/>
          <w:color w:val="auto"/>
          <w:kern w:val="2"/>
          <w:sz w:val="28"/>
          <w:szCs w:val="28"/>
          <w:highlight w:val="none"/>
          <w:lang w:val="en-US" w:eastAsia="zh-CN" w:bidi="ar-SA"/>
        </w:rPr>
        <w:t>，其余6名评委可邀请各相关行业领域的权威专家或企业代表或投资专家。根据决赛的成绩，由高至低排序，评选出海外分站赛决赛一等奖1名，二等奖2名，三等奖3名。根据各行业评分高低排名，决出各行业排前2名的优胜项目。</w:t>
      </w:r>
      <w:r>
        <w:rPr>
          <w:rFonts w:hint="eastAsia" w:ascii="仿宋_GB2312" w:hAnsi="仿宋_GB2312" w:eastAsia="仿宋_GB2312" w:cs="仿宋_GB2312"/>
          <w:color w:val="auto"/>
          <w:kern w:val="2"/>
          <w:sz w:val="28"/>
          <w:szCs w:val="28"/>
          <w:highlight w:val="none"/>
          <w:lang w:val="en-US" w:eastAsia="zh-CN" w:bidi="ar-SA"/>
        </w:rPr>
        <w:t>海外分站赛决赛的获奖项目以及各行业排前2名的项目晋级行业决赛。</w:t>
      </w:r>
      <w:r>
        <w:rPr>
          <w:rFonts w:hint="default" w:ascii="仿宋_GB2312" w:hAnsi="仿宋_GB2312" w:eastAsia="仿宋_GB2312" w:cs="仿宋_GB2312"/>
          <w:color w:val="auto"/>
          <w:kern w:val="2"/>
          <w:sz w:val="28"/>
          <w:szCs w:val="28"/>
          <w:highlight w:val="none"/>
          <w:lang w:val="en-US" w:eastAsia="zh-CN" w:bidi="ar-SA"/>
        </w:rPr>
        <w:t>如遇地缘政治等因素影响，海外分站赛决赛可采取线上形式进行。</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（3）按赛事要求组织专家进行评审，涉及各阶段赛事实施方案、宣传方案、赛事流程、评审规则、评审专家、评审视频、评审结果等材料需报大赛组委会审定及备案。</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b/>
          <w:bCs/>
          <w:color w:val="auto"/>
          <w:kern w:val="2"/>
          <w:sz w:val="28"/>
          <w:szCs w:val="28"/>
          <w:highlight w:val="none"/>
          <w:lang w:val="en-US" w:eastAsia="zh-CN" w:bidi="ar-SA"/>
        </w:rPr>
        <w:t>7.赛事整体服务。一是</w:t>
      </w:r>
      <w:r>
        <w:rPr>
          <w:rFonts w:hint="default" w:ascii="仿宋_GB2312" w:hAnsi="仿宋_GB2312" w:eastAsia="仿宋_GB2312" w:cs="仿宋_GB2312"/>
          <w:color w:val="auto"/>
          <w:kern w:val="2"/>
          <w:sz w:val="28"/>
          <w:szCs w:val="28"/>
          <w:highlight w:val="none"/>
          <w:lang w:val="en-US" w:eastAsia="zh-CN" w:bidi="ar-SA"/>
        </w:rPr>
        <w:t>根据海外分站赛所在时区，合理安排分站赛决赛比赛时间。</w:t>
      </w:r>
      <w:r>
        <w:rPr>
          <w:rFonts w:hint="default" w:ascii="仿宋_GB2312" w:hAnsi="仿宋_GB2312" w:eastAsia="仿宋_GB2312" w:cs="仿宋_GB2312"/>
          <w:b/>
          <w:bCs/>
          <w:color w:val="auto"/>
          <w:kern w:val="2"/>
          <w:sz w:val="28"/>
          <w:szCs w:val="28"/>
          <w:highlight w:val="none"/>
          <w:lang w:val="en-US" w:eastAsia="zh-CN" w:bidi="ar-SA"/>
        </w:rPr>
        <w:t>二是</w:t>
      </w:r>
      <w:r>
        <w:rPr>
          <w:rFonts w:hint="default" w:ascii="仿宋_GB2312" w:hAnsi="仿宋_GB2312" w:eastAsia="仿宋_GB2312" w:cs="仿宋_GB2312"/>
          <w:color w:val="auto"/>
          <w:kern w:val="2"/>
          <w:sz w:val="28"/>
          <w:szCs w:val="28"/>
          <w:highlight w:val="none"/>
          <w:lang w:val="en-US" w:eastAsia="zh-CN" w:bidi="ar-SA"/>
        </w:rPr>
        <w:t>负责赛事前期宣传发动、整理及翻译参赛项目资料、邀请各相关行业领域专家（包括但不限于投资专家、行业专家）对参赛项目进行评审、邀请专业主持人和组织颁奖仪式等，确保各赛事环节顺利进行。</w:t>
      </w:r>
      <w:r>
        <w:rPr>
          <w:rFonts w:hint="default" w:ascii="仿宋_GB2312" w:hAnsi="仿宋_GB2312" w:eastAsia="仿宋_GB2312" w:cs="仿宋_GB2312"/>
          <w:b/>
          <w:bCs/>
          <w:color w:val="auto"/>
          <w:kern w:val="2"/>
          <w:sz w:val="28"/>
          <w:szCs w:val="28"/>
          <w:highlight w:val="none"/>
          <w:lang w:val="en-US" w:eastAsia="zh-CN" w:bidi="ar-SA"/>
        </w:rPr>
        <w:t>三是</w:t>
      </w:r>
      <w:r>
        <w:rPr>
          <w:rFonts w:hint="default" w:ascii="仿宋_GB2312" w:hAnsi="仿宋_GB2312" w:eastAsia="仿宋_GB2312" w:cs="仿宋_GB2312"/>
          <w:color w:val="auto"/>
          <w:kern w:val="2"/>
          <w:sz w:val="28"/>
          <w:szCs w:val="28"/>
          <w:highlight w:val="none"/>
          <w:lang w:val="en-US" w:eastAsia="zh-CN" w:bidi="ar-SA"/>
        </w:rPr>
        <w:t>海外分站赛决赛必须提供高水平和精准同声传译翻译服务，对赛事评审进行全程录制。</w:t>
      </w:r>
      <w:r>
        <w:rPr>
          <w:rFonts w:hint="default" w:ascii="仿宋_GB2312" w:hAnsi="仿宋_GB2312" w:eastAsia="仿宋_GB2312" w:cs="仿宋_GB2312"/>
          <w:b/>
          <w:bCs/>
          <w:color w:val="auto"/>
          <w:kern w:val="2"/>
          <w:sz w:val="28"/>
          <w:szCs w:val="28"/>
          <w:highlight w:val="none"/>
          <w:lang w:val="en-US" w:eastAsia="zh-CN" w:bidi="ar-SA"/>
        </w:rPr>
        <w:t>四是</w:t>
      </w:r>
      <w:r>
        <w:rPr>
          <w:rFonts w:hint="default" w:ascii="仿宋_GB2312" w:hAnsi="仿宋_GB2312" w:eastAsia="仿宋_GB2312" w:cs="仿宋_GB2312"/>
          <w:color w:val="auto"/>
          <w:kern w:val="2"/>
          <w:sz w:val="28"/>
          <w:szCs w:val="28"/>
          <w:highlight w:val="none"/>
          <w:lang w:val="en-US" w:eastAsia="zh-CN" w:bidi="ar-SA"/>
        </w:rPr>
        <w:t>邀请嘉宾现场观赛，嘉宾包括但不限于当地大使馆科技参赞、当地政要、学术界权威（如院士、诺奖得主等）和行业专家、企业代表、投资专家等。</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b/>
          <w:bCs/>
          <w:color w:val="auto"/>
          <w:kern w:val="2"/>
          <w:sz w:val="28"/>
          <w:szCs w:val="28"/>
          <w:highlight w:val="none"/>
          <w:lang w:val="en-US" w:eastAsia="zh-CN" w:bidi="ar-SA"/>
        </w:rPr>
        <w:t>8.赛事物料制作及布置</w:t>
      </w:r>
      <w:r>
        <w:rPr>
          <w:rFonts w:hint="default" w:ascii="仿宋_GB2312" w:hAnsi="仿宋_GB2312" w:eastAsia="仿宋_GB2312" w:cs="仿宋_GB2312"/>
          <w:color w:val="auto"/>
          <w:kern w:val="2"/>
          <w:sz w:val="28"/>
          <w:szCs w:val="28"/>
          <w:highlight w:val="none"/>
          <w:lang w:val="en-US" w:eastAsia="zh-CN" w:bidi="ar-SA"/>
        </w:rPr>
        <w:t>。负责大赛整体物料设计及制作，包括但不限于比赛现场的物料布置、会务资料准备等。根据深创赛国际赛设计元素，结合海外分站赛城市风格进行横幅、电子海报、主画面等物料设计及制作。同时，</w:t>
      </w:r>
      <w:r>
        <w:rPr>
          <w:rFonts w:hint="eastAsia" w:ascii="仿宋_GB2312" w:hAnsi="仿宋_GB2312" w:eastAsia="仿宋_GB2312" w:cs="仿宋_GB2312"/>
          <w:color w:val="auto"/>
          <w:kern w:val="2"/>
          <w:sz w:val="28"/>
          <w:szCs w:val="28"/>
          <w:highlight w:val="none"/>
          <w:lang w:val="en-US" w:eastAsia="zh-CN" w:bidi="ar-SA"/>
        </w:rPr>
        <w:t>承办机构</w:t>
      </w:r>
      <w:r>
        <w:rPr>
          <w:rFonts w:hint="default" w:ascii="仿宋_GB2312" w:hAnsi="仿宋_GB2312" w:eastAsia="仿宋_GB2312" w:cs="仿宋_GB2312"/>
          <w:color w:val="auto"/>
          <w:kern w:val="2"/>
          <w:sz w:val="28"/>
          <w:szCs w:val="28"/>
          <w:highlight w:val="none"/>
          <w:lang w:val="en-US" w:eastAsia="zh-CN" w:bidi="ar-SA"/>
        </w:rPr>
        <w:t>负责制定活动实施细化方案、活动执行、活动现场布置、道具设计及制作、安装等事宜（具体事项以项目活动策划方案为准）。</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b/>
          <w:bCs/>
          <w:color w:val="auto"/>
          <w:kern w:val="2"/>
          <w:sz w:val="28"/>
          <w:szCs w:val="28"/>
          <w:highlight w:val="none"/>
          <w:lang w:val="en-US" w:eastAsia="zh-CN" w:bidi="ar-SA"/>
        </w:rPr>
        <w:t>9.赛事场地租赁。</w:t>
      </w:r>
      <w:r>
        <w:rPr>
          <w:rFonts w:hint="default" w:ascii="仿宋_GB2312" w:hAnsi="仿宋_GB2312" w:eastAsia="仿宋_GB2312" w:cs="仿宋_GB2312"/>
          <w:color w:val="auto"/>
          <w:kern w:val="2"/>
          <w:sz w:val="28"/>
          <w:szCs w:val="28"/>
          <w:highlight w:val="none"/>
          <w:lang w:val="en-US" w:eastAsia="zh-CN" w:bidi="ar-SA"/>
        </w:rPr>
        <w:t>负责提前考察、预定、租赁比赛场地，确保场地设备、设施、服务等符合赛事要求，并与场地方保持及时沟通。</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b/>
          <w:bCs/>
          <w:color w:val="auto"/>
          <w:kern w:val="2"/>
          <w:sz w:val="28"/>
          <w:szCs w:val="28"/>
          <w:highlight w:val="none"/>
          <w:lang w:val="en-US" w:eastAsia="zh-CN" w:bidi="ar-SA"/>
        </w:rPr>
        <w:t>10.赛事设备租赁及维护。</w:t>
      </w:r>
      <w:r>
        <w:rPr>
          <w:rFonts w:hint="default" w:ascii="仿宋_GB2312" w:hAnsi="仿宋_GB2312" w:eastAsia="仿宋_GB2312" w:cs="仿宋_GB2312"/>
          <w:color w:val="auto"/>
          <w:kern w:val="2"/>
          <w:sz w:val="28"/>
          <w:szCs w:val="28"/>
          <w:highlight w:val="none"/>
          <w:lang w:val="en-US" w:eastAsia="zh-CN" w:bidi="ar-SA"/>
        </w:rPr>
        <w:t>负责赛事所需设备的租赁、维护等，提供比赛所需设备，并提前对相应设备和网络进行调试，对整体流程进行彩排，不得在正式比赛过程中出现任何黑屏、设备故障等问题，同时需得做好应急预案，确保赛事顺利进行。</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b/>
          <w:bCs/>
          <w:color w:val="auto"/>
          <w:kern w:val="2"/>
          <w:sz w:val="28"/>
          <w:szCs w:val="28"/>
          <w:highlight w:val="none"/>
          <w:lang w:val="en-US" w:eastAsia="zh-CN" w:bidi="ar-SA"/>
        </w:rPr>
        <w:t>11.赛事现场接待。</w:t>
      </w:r>
      <w:r>
        <w:rPr>
          <w:rFonts w:hint="default" w:ascii="仿宋_GB2312" w:hAnsi="仿宋_GB2312" w:eastAsia="仿宋_GB2312" w:cs="仿宋_GB2312"/>
          <w:color w:val="auto"/>
          <w:kern w:val="2"/>
          <w:sz w:val="28"/>
          <w:szCs w:val="28"/>
          <w:highlight w:val="none"/>
          <w:lang w:val="en-US" w:eastAsia="zh-CN" w:bidi="ar-SA"/>
        </w:rPr>
        <w:t>现场接待嘉宾，告知整体会议议程及评审方式，确保每位专家明确了解整体赛事评审要求，并协助接待出席领导。</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b/>
          <w:bCs/>
          <w:color w:val="auto"/>
          <w:kern w:val="2"/>
          <w:sz w:val="28"/>
          <w:szCs w:val="28"/>
          <w:highlight w:val="none"/>
          <w:lang w:val="en-US" w:eastAsia="zh-CN" w:bidi="ar-SA"/>
        </w:rPr>
        <w:t>12.赛事辅导培训。</w:t>
      </w:r>
      <w:r>
        <w:rPr>
          <w:rFonts w:hint="default" w:ascii="仿宋_GB2312" w:hAnsi="仿宋_GB2312" w:eastAsia="仿宋_GB2312" w:cs="仿宋_GB2312"/>
          <w:color w:val="auto"/>
          <w:kern w:val="2"/>
          <w:sz w:val="28"/>
          <w:szCs w:val="28"/>
          <w:highlight w:val="none"/>
          <w:lang w:val="en-US" w:eastAsia="zh-CN" w:bidi="ar-SA"/>
        </w:rPr>
        <w:t>赛程中持续开展赛前辅导，协助选手在商业计划书撰写，路演策略，答辩技巧等方面持续提升实力。对晋级海外分站赛决赛的项目团队开展赛前辅导与培训，对选手进行专门的一对一培训和辅导，为选手介绍有关赛制、决赛流程、路演PPT制作有关要求，根据选手需求提供相关建议，帮助选手提炼项目特色和亮点。辅导培训的时长原则上累计应不少于1天，赛事辅导培训的考核以晋级选手的现场展示效果为标准。</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b/>
          <w:bCs/>
          <w:color w:val="auto"/>
          <w:kern w:val="2"/>
          <w:sz w:val="28"/>
          <w:szCs w:val="28"/>
          <w:highlight w:val="none"/>
          <w:lang w:val="en-US" w:eastAsia="zh-CN" w:bidi="ar-SA"/>
        </w:rPr>
        <w:t>13.宣传报道。</w:t>
      </w:r>
      <w:r>
        <w:rPr>
          <w:rFonts w:hint="default" w:ascii="仿宋_GB2312" w:hAnsi="仿宋_GB2312" w:eastAsia="仿宋_GB2312" w:cs="仿宋_GB2312"/>
          <w:color w:val="auto"/>
          <w:kern w:val="2"/>
          <w:sz w:val="28"/>
          <w:szCs w:val="28"/>
          <w:highlight w:val="none"/>
          <w:lang w:val="en-US" w:eastAsia="zh-CN" w:bidi="ar-SA"/>
        </w:rPr>
        <w:t>对海外分站赛进行赛前、赛中、赛后宣传报道。通过海外当地官媒、大赛网站、Facebook、领英、TikTok、YouTube等国外自媒体、国际媒体平台多方面向社会宣传赛事实况，同时在海外分站赛推广</w:t>
      </w:r>
      <w:r>
        <w:rPr>
          <w:rFonts w:hint="eastAsia" w:ascii="仿宋_GB2312" w:hAnsi="仿宋_GB2312" w:eastAsia="仿宋_GB2312" w:cs="仿宋_GB2312"/>
          <w:color w:val="auto"/>
          <w:kern w:val="2"/>
          <w:sz w:val="28"/>
          <w:szCs w:val="28"/>
          <w:highlight w:val="none"/>
          <w:lang w:val="en-US" w:eastAsia="zh-CN" w:bidi="ar-SA"/>
        </w:rPr>
        <w:t>福田</w:t>
      </w:r>
      <w:r>
        <w:rPr>
          <w:rFonts w:hint="default" w:ascii="仿宋_GB2312" w:hAnsi="仿宋_GB2312" w:eastAsia="仿宋_GB2312" w:cs="仿宋_GB2312"/>
          <w:color w:val="auto"/>
          <w:kern w:val="2"/>
          <w:sz w:val="28"/>
          <w:szCs w:val="28"/>
          <w:highlight w:val="none"/>
          <w:lang w:val="en-US" w:eastAsia="zh-CN" w:bidi="ar-SA"/>
        </w:rPr>
        <w:t>区优越的创新创业环境、人才发展环境等。负责邀请现场媒体、摄影摄像等专业媒体人员，并发布新闻通稿，追踪及收集相关报道，保持海外和国内新闻同频。要求赛事各阶段各完成海外网媒不少于10篇，国内主流媒体纸媒不少于4篇、网媒不少于100篇。</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b/>
          <w:bCs/>
          <w:color w:val="auto"/>
          <w:kern w:val="2"/>
          <w:sz w:val="28"/>
          <w:szCs w:val="28"/>
          <w:highlight w:val="none"/>
          <w:lang w:val="en-US" w:eastAsia="zh-CN" w:bidi="ar-SA"/>
        </w:rPr>
        <w:t>14.赛事视频录制。</w:t>
      </w:r>
      <w:r>
        <w:rPr>
          <w:rFonts w:hint="default" w:ascii="仿宋_GB2312" w:hAnsi="仿宋_GB2312" w:eastAsia="仿宋_GB2312" w:cs="仿宋_GB2312"/>
          <w:color w:val="auto"/>
          <w:kern w:val="2"/>
          <w:sz w:val="28"/>
          <w:szCs w:val="28"/>
          <w:highlight w:val="none"/>
          <w:lang w:val="en-US" w:eastAsia="zh-CN" w:bidi="ar-SA"/>
        </w:rPr>
        <w:t>对海外分站赛评审进行全程录制，制作成符合国内视频格式要求的视频，时长以赛事现场情况为准。针对各赛区海外分站赛分别制作一部完整的宣传和纪录专题片，时长分别不少于7分钟，包含城市风貌简介、大赛精彩花絮与热烈场面，对获奖选手（团队）进行重点跟踪拍摄和采访，包括获奖选手背景介绍、参赛过程展示、感受与收获分享，穿插评委、嘉宾等专业人士对赛事及项目的点评等。视频可分为3个阶段：一是赛前宣传阶段，</w:t>
      </w:r>
      <w:r>
        <w:rPr>
          <w:rFonts w:hint="eastAsia" w:ascii="仿宋_GB2312" w:hAnsi="仿宋_GB2312" w:eastAsia="仿宋_GB2312" w:cs="仿宋_GB2312"/>
          <w:color w:val="auto"/>
          <w:kern w:val="2"/>
          <w:sz w:val="28"/>
          <w:szCs w:val="28"/>
          <w:highlight w:val="none"/>
          <w:lang w:val="en-US" w:eastAsia="zh-CN" w:bidi="ar-SA"/>
        </w:rPr>
        <w:t>承办单位</w:t>
      </w:r>
      <w:r>
        <w:rPr>
          <w:rFonts w:hint="default" w:ascii="仿宋_GB2312" w:hAnsi="仿宋_GB2312" w:eastAsia="仿宋_GB2312" w:cs="仿宋_GB2312"/>
          <w:color w:val="auto"/>
          <w:kern w:val="2"/>
          <w:sz w:val="28"/>
          <w:szCs w:val="28"/>
          <w:highlight w:val="none"/>
          <w:lang w:val="en-US" w:eastAsia="zh-CN" w:bidi="ar-SA"/>
        </w:rPr>
        <w:t>自收到要求制作宣传视频之日起7个工作日之内需结合</w:t>
      </w:r>
      <w:r>
        <w:rPr>
          <w:rFonts w:hint="eastAsia" w:ascii="仿宋_GB2312" w:hAnsi="仿宋_GB2312" w:eastAsia="仿宋_GB2312" w:cs="仿宋_GB2312"/>
          <w:color w:val="auto"/>
          <w:kern w:val="2"/>
          <w:sz w:val="28"/>
          <w:szCs w:val="28"/>
          <w:highlight w:val="none"/>
          <w:lang w:val="en-US" w:eastAsia="zh-CN" w:bidi="ar-SA"/>
        </w:rPr>
        <w:t>福田</w:t>
      </w:r>
      <w:r>
        <w:rPr>
          <w:rFonts w:hint="default" w:ascii="仿宋_GB2312" w:hAnsi="仿宋_GB2312" w:eastAsia="仿宋_GB2312" w:cs="仿宋_GB2312"/>
          <w:color w:val="auto"/>
          <w:kern w:val="2"/>
          <w:sz w:val="28"/>
          <w:szCs w:val="28"/>
          <w:highlight w:val="none"/>
          <w:lang w:val="en-US" w:eastAsia="zh-CN" w:bidi="ar-SA"/>
        </w:rPr>
        <w:t>区区情和大赛规则等资料，完成制作约1分钟中英版的国际赛事宣传视频</w:t>
      </w:r>
      <w:r>
        <w:rPr>
          <w:rFonts w:hint="eastAsia" w:ascii="仿宋_GB2312" w:hAnsi="仿宋_GB2312" w:eastAsia="仿宋_GB2312" w:cs="仿宋_GB2312"/>
          <w:color w:val="auto"/>
          <w:kern w:val="2"/>
          <w:sz w:val="28"/>
          <w:szCs w:val="28"/>
          <w:highlight w:val="none"/>
          <w:lang w:val="en-US" w:eastAsia="zh-CN" w:bidi="ar-SA"/>
        </w:rPr>
        <w:t>；</w:t>
      </w:r>
      <w:r>
        <w:rPr>
          <w:rFonts w:hint="default" w:ascii="仿宋_GB2312" w:hAnsi="仿宋_GB2312" w:eastAsia="仿宋_GB2312" w:cs="仿宋_GB2312"/>
          <w:color w:val="auto"/>
          <w:kern w:val="2"/>
          <w:sz w:val="28"/>
          <w:szCs w:val="28"/>
          <w:highlight w:val="none"/>
          <w:lang w:val="en-US" w:eastAsia="zh-CN" w:bidi="ar-SA"/>
        </w:rPr>
        <w:t>二是赛中视频录制</w:t>
      </w:r>
      <w:r>
        <w:rPr>
          <w:rFonts w:hint="eastAsia" w:ascii="仿宋_GB2312" w:hAnsi="仿宋_GB2312" w:eastAsia="仿宋_GB2312" w:cs="仿宋_GB2312"/>
          <w:color w:val="auto"/>
          <w:kern w:val="2"/>
          <w:sz w:val="28"/>
          <w:szCs w:val="28"/>
          <w:highlight w:val="none"/>
          <w:lang w:val="en-US" w:eastAsia="zh-CN" w:bidi="ar-SA"/>
        </w:rPr>
        <w:t>，</w:t>
      </w:r>
      <w:r>
        <w:rPr>
          <w:rFonts w:hint="default" w:ascii="仿宋_GB2312" w:hAnsi="仿宋_GB2312" w:eastAsia="仿宋_GB2312" w:cs="仿宋_GB2312"/>
          <w:color w:val="auto"/>
          <w:kern w:val="2"/>
          <w:sz w:val="28"/>
          <w:szCs w:val="28"/>
          <w:highlight w:val="none"/>
          <w:lang w:val="en-US" w:eastAsia="zh-CN" w:bidi="ar-SA"/>
        </w:rPr>
        <w:t>制作</w:t>
      </w:r>
      <w:r>
        <w:rPr>
          <w:rFonts w:hint="eastAsia" w:ascii="仿宋_GB2312" w:hAnsi="仿宋_GB2312" w:eastAsia="仿宋_GB2312" w:cs="仿宋_GB2312"/>
          <w:color w:val="auto"/>
          <w:kern w:val="2"/>
          <w:sz w:val="28"/>
          <w:szCs w:val="28"/>
          <w:highlight w:val="none"/>
          <w:lang w:val="en-US" w:eastAsia="zh-CN" w:bidi="ar-SA"/>
        </w:rPr>
        <w:t>海外</w:t>
      </w:r>
      <w:r>
        <w:rPr>
          <w:rFonts w:hint="default" w:ascii="仿宋_GB2312" w:hAnsi="仿宋_GB2312" w:eastAsia="仿宋_GB2312" w:cs="仿宋_GB2312"/>
          <w:color w:val="auto"/>
          <w:kern w:val="2"/>
          <w:sz w:val="28"/>
          <w:szCs w:val="28"/>
          <w:highlight w:val="none"/>
          <w:lang w:val="en-US" w:eastAsia="zh-CN" w:bidi="ar-SA"/>
        </w:rPr>
        <w:t>分站赛赛事过程中的1分钟精彩剪辑视频</w:t>
      </w:r>
      <w:r>
        <w:rPr>
          <w:rFonts w:hint="eastAsia" w:ascii="仿宋_GB2312" w:hAnsi="仿宋_GB2312" w:eastAsia="仿宋_GB2312" w:cs="仿宋_GB2312"/>
          <w:color w:val="auto"/>
          <w:kern w:val="2"/>
          <w:sz w:val="28"/>
          <w:szCs w:val="28"/>
          <w:highlight w:val="none"/>
          <w:lang w:val="en-US" w:eastAsia="zh-CN" w:bidi="ar-SA"/>
        </w:rPr>
        <w:t>；</w:t>
      </w:r>
      <w:r>
        <w:rPr>
          <w:rFonts w:hint="default" w:ascii="仿宋_GB2312" w:hAnsi="仿宋_GB2312" w:eastAsia="仿宋_GB2312" w:cs="仿宋_GB2312"/>
          <w:color w:val="auto"/>
          <w:kern w:val="2"/>
          <w:sz w:val="28"/>
          <w:szCs w:val="28"/>
          <w:highlight w:val="none"/>
          <w:lang w:val="en-US" w:eastAsia="zh-CN" w:bidi="ar-SA"/>
        </w:rPr>
        <w:t>三是赛事总体视频集锦制作</w:t>
      </w:r>
      <w:r>
        <w:rPr>
          <w:rFonts w:hint="eastAsia" w:ascii="仿宋_GB2312" w:hAnsi="仿宋_GB2312" w:eastAsia="仿宋_GB2312" w:cs="仿宋_GB2312"/>
          <w:color w:val="auto"/>
          <w:kern w:val="2"/>
          <w:sz w:val="28"/>
          <w:szCs w:val="28"/>
          <w:highlight w:val="none"/>
          <w:lang w:val="en-US" w:eastAsia="zh-CN" w:bidi="ar-SA"/>
        </w:rPr>
        <w:t>，</w:t>
      </w:r>
      <w:r>
        <w:rPr>
          <w:rFonts w:hint="default" w:ascii="仿宋_GB2312" w:hAnsi="仿宋_GB2312" w:eastAsia="仿宋_GB2312" w:cs="仿宋_GB2312"/>
          <w:color w:val="auto"/>
          <w:kern w:val="2"/>
          <w:sz w:val="28"/>
          <w:szCs w:val="28"/>
          <w:highlight w:val="none"/>
          <w:lang w:val="en-US" w:eastAsia="zh-CN" w:bidi="ar-SA"/>
        </w:rPr>
        <w:t>结合赛事总体录制和赛前宣传、赛中精彩视频、赛前辅导等，制作</w:t>
      </w:r>
      <w:r>
        <w:rPr>
          <w:rFonts w:hint="eastAsia" w:ascii="仿宋_GB2312" w:hAnsi="仿宋_GB2312" w:eastAsia="仿宋_GB2312" w:cs="仿宋_GB2312"/>
          <w:color w:val="auto"/>
          <w:kern w:val="2"/>
          <w:sz w:val="28"/>
          <w:szCs w:val="28"/>
          <w:highlight w:val="none"/>
          <w:lang w:val="en-US" w:eastAsia="zh-CN" w:bidi="ar-SA"/>
        </w:rPr>
        <w:t>海外</w:t>
      </w:r>
      <w:r>
        <w:rPr>
          <w:rFonts w:hint="default" w:ascii="仿宋_GB2312" w:hAnsi="仿宋_GB2312" w:eastAsia="仿宋_GB2312" w:cs="仿宋_GB2312"/>
          <w:color w:val="auto"/>
          <w:kern w:val="2"/>
          <w:sz w:val="28"/>
          <w:szCs w:val="28"/>
          <w:highlight w:val="none"/>
          <w:lang w:val="en-US" w:eastAsia="zh-CN" w:bidi="ar-SA"/>
        </w:rPr>
        <w:t>分站赛赛事整体精彩片段集锦视频。上述成片要求以数字高清摄像机拍摄，画面清晰，声音清楚，mp4格式（1920*1080全高清模式、20M码率）。</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b/>
          <w:bCs/>
          <w:color w:val="auto"/>
          <w:kern w:val="2"/>
          <w:sz w:val="28"/>
          <w:szCs w:val="28"/>
          <w:highlight w:val="none"/>
          <w:lang w:val="en-US" w:eastAsia="zh-CN" w:bidi="ar-SA"/>
        </w:rPr>
        <w:t>15.协助组织政务团赴海外参加赛事活动及相关参访活动安排。</w:t>
      </w:r>
      <w:r>
        <w:rPr>
          <w:rFonts w:hint="default" w:ascii="仿宋_GB2312" w:hAnsi="仿宋_GB2312" w:eastAsia="仿宋_GB2312" w:cs="仿宋_GB2312"/>
          <w:color w:val="auto"/>
          <w:kern w:val="2"/>
          <w:sz w:val="28"/>
          <w:szCs w:val="28"/>
          <w:highlight w:val="none"/>
          <w:lang w:val="en-US" w:eastAsia="zh-CN" w:bidi="ar-SA"/>
        </w:rPr>
        <w:t>协助</w:t>
      </w:r>
      <w:r>
        <w:rPr>
          <w:rFonts w:hint="eastAsia" w:ascii="仿宋_GB2312" w:hAnsi="仿宋_GB2312" w:eastAsia="仿宋_GB2312" w:cs="仿宋_GB2312"/>
          <w:color w:val="auto"/>
          <w:kern w:val="2"/>
          <w:sz w:val="28"/>
          <w:szCs w:val="28"/>
          <w:highlight w:val="none"/>
          <w:lang w:val="en-US" w:eastAsia="zh-CN" w:bidi="ar-SA"/>
        </w:rPr>
        <w:t>采购</w:t>
      </w:r>
      <w:r>
        <w:rPr>
          <w:rFonts w:hint="default" w:ascii="仿宋_GB2312" w:hAnsi="仿宋_GB2312" w:eastAsia="仿宋_GB2312" w:cs="仿宋_GB2312"/>
          <w:color w:val="auto"/>
          <w:kern w:val="2"/>
          <w:sz w:val="28"/>
          <w:szCs w:val="28"/>
          <w:highlight w:val="none"/>
          <w:lang w:val="en-US" w:eastAsia="zh-CN" w:bidi="ar-SA"/>
        </w:rPr>
        <w:t>单位开展海外有关外事活动报批及业务办理，开展领事机构、国际组织、留学生的对接和协调工作，挖掘海外办赛地区科研院所、产业园区、重点企业、商协会等有意向与</w:t>
      </w:r>
      <w:r>
        <w:rPr>
          <w:rFonts w:hint="eastAsia" w:ascii="仿宋_GB2312" w:hAnsi="仿宋_GB2312" w:eastAsia="仿宋_GB2312" w:cs="仿宋_GB2312"/>
          <w:color w:val="auto"/>
          <w:kern w:val="2"/>
          <w:sz w:val="28"/>
          <w:szCs w:val="28"/>
          <w:highlight w:val="none"/>
          <w:lang w:val="en-US" w:eastAsia="zh-CN" w:bidi="ar-SA"/>
        </w:rPr>
        <w:t>福田</w:t>
      </w:r>
      <w:r>
        <w:rPr>
          <w:rFonts w:hint="default" w:ascii="仿宋_GB2312" w:hAnsi="仿宋_GB2312" w:eastAsia="仿宋_GB2312" w:cs="仿宋_GB2312"/>
          <w:color w:val="auto"/>
          <w:kern w:val="2"/>
          <w:sz w:val="28"/>
          <w:szCs w:val="28"/>
          <w:highlight w:val="none"/>
          <w:lang w:val="en-US" w:eastAsia="zh-CN" w:bidi="ar-SA"/>
        </w:rPr>
        <w:t>区建立合作交流的单位，密切对接</w:t>
      </w:r>
      <w:r>
        <w:rPr>
          <w:rFonts w:hint="eastAsia" w:ascii="仿宋_GB2312" w:hAnsi="仿宋_GB2312" w:eastAsia="仿宋_GB2312" w:cs="仿宋_GB2312"/>
          <w:color w:val="auto"/>
          <w:kern w:val="2"/>
          <w:sz w:val="28"/>
          <w:szCs w:val="28"/>
          <w:highlight w:val="none"/>
          <w:lang w:val="en-US" w:eastAsia="zh-CN" w:bidi="ar-SA"/>
        </w:rPr>
        <w:t>福田</w:t>
      </w:r>
      <w:r>
        <w:rPr>
          <w:rFonts w:hint="default" w:ascii="仿宋_GB2312" w:hAnsi="仿宋_GB2312" w:eastAsia="仿宋_GB2312" w:cs="仿宋_GB2312"/>
          <w:color w:val="auto"/>
          <w:kern w:val="2"/>
          <w:sz w:val="28"/>
          <w:szCs w:val="28"/>
          <w:highlight w:val="none"/>
          <w:lang w:val="en-US" w:eastAsia="zh-CN" w:bidi="ar-SA"/>
        </w:rPr>
        <w:t>区相关单位与出访地区交流意向及回访诉求，制定海外分站赛决赛现场推介、召开意向项目闭门会、参访交流、海外博士后对接会等活动方案，包括明确海外参访计划，制定参访安排日程，规划参访路线，做好参访会议组织及材料准备，密切对接接访单位负责人等。</w:t>
      </w:r>
      <w:r>
        <w:rPr>
          <w:rFonts w:hint="eastAsia" w:ascii="仿宋_GB2312" w:hAnsi="仿宋_GB2312" w:eastAsia="仿宋_GB2312" w:cs="仿宋_GB2312"/>
          <w:color w:val="auto"/>
          <w:kern w:val="2"/>
          <w:sz w:val="28"/>
          <w:szCs w:val="28"/>
          <w:highlight w:val="none"/>
          <w:lang w:val="en-US" w:eastAsia="zh-CN" w:bidi="ar-SA"/>
        </w:rPr>
        <w:t>承办单位</w:t>
      </w:r>
      <w:r>
        <w:rPr>
          <w:rFonts w:hint="default" w:ascii="仿宋_GB2312" w:hAnsi="仿宋_GB2312" w:eastAsia="仿宋_GB2312" w:cs="仿宋_GB2312"/>
          <w:color w:val="auto"/>
          <w:kern w:val="2"/>
          <w:sz w:val="28"/>
          <w:szCs w:val="28"/>
          <w:highlight w:val="none"/>
          <w:lang w:val="en-US" w:eastAsia="zh-CN" w:bidi="ar-SA"/>
        </w:rPr>
        <w:t>项目负责人或中高层的主要负责人陪同政务团前往海外组织开展赛事活动及安排参访工作，同时，至少安排1名熟悉当地情况的工作专员全程陪同参访，至少协助有1个与</w:t>
      </w:r>
      <w:r>
        <w:rPr>
          <w:rFonts w:hint="eastAsia" w:ascii="仿宋_GB2312" w:hAnsi="仿宋_GB2312" w:eastAsia="仿宋_GB2312" w:cs="仿宋_GB2312"/>
          <w:color w:val="auto"/>
          <w:kern w:val="2"/>
          <w:sz w:val="28"/>
          <w:szCs w:val="28"/>
          <w:highlight w:val="none"/>
          <w:lang w:val="en-US" w:eastAsia="zh-CN" w:bidi="ar-SA"/>
        </w:rPr>
        <w:t>福田</w:t>
      </w:r>
      <w:r>
        <w:rPr>
          <w:rFonts w:hint="default" w:ascii="仿宋_GB2312" w:hAnsi="仿宋_GB2312" w:eastAsia="仿宋_GB2312" w:cs="仿宋_GB2312"/>
          <w:color w:val="auto"/>
          <w:kern w:val="2"/>
          <w:sz w:val="28"/>
          <w:szCs w:val="28"/>
          <w:highlight w:val="none"/>
          <w:lang w:val="en-US" w:eastAsia="zh-CN" w:bidi="ar-SA"/>
        </w:rPr>
        <w:t>区重点支持领域相关的科研院所、产业园区、孵化器、重点企业、投资机构、商协会等单位与</w:t>
      </w:r>
      <w:r>
        <w:rPr>
          <w:rFonts w:hint="eastAsia" w:ascii="仿宋_GB2312" w:hAnsi="仿宋_GB2312" w:eastAsia="仿宋_GB2312" w:cs="仿宋_GB2312"/>
          <w:color w:val="auto"/>
          <w:kern w:val="2"/>
          <w:sz w:val="28"/>
          <w:szCs w:val="28"/>
          <w:highlight w:val="none"/>
          <w:lang w:val="en-US" w:eastAsia="zh-CN" w:bidi="ar-SA"/>
        </w:rPr>
        <w:t>福田</w:t>
      </w:r>
      <w:r>
        <w:rPr>
          <w:rFonts w:hint="default" w:ascii="仿宋_GB2312" w:hAnsi="仿宋_GB2312" w:eastAsia="仿宋_GB2312" w:cs="仿宋_GB2312"/>
          <w:color w:val="auto"/>
          <w:kern w:val="2"/>
          <w:sz w:val="28"/>
          <w:szCs w:val="28"/>
          <w:highlight w:val="none"/>
          <w:lang w:val="en-US" w:eastAsia="zh-CN" w:bidi="ar-SA"/>
        </w:rPr>
        <w:t>区相关单位建立资源链接或签署合作框架协议。</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b/>
          <w:bCs/>
          <w:color w:val="auto"/>
          <w:kern w:val="2"/>
          <w:sz w:val="28"/>
          <w:szCs w:val="28"/>
          <w:highlight w:val="none"/>
          <w:lang w:val="en-US" w:eastAsia="zh-CN" w:bidi="ar-SA"/>
        </w:rPr>
        <w:t>16.协助发放选手奖金。</w:t>
      </w:r>
      <w:r>
        <w:rPr>
          <w:rFonts w:hint="default" w:ascii="仿宋_GB2312" w:hAnsi="仿宋_GB2312" w:eastAsia="仿宋_GB2312" w:cs="仿宋_GB2312"/>
          <w:color w:val="auto"/>
          <w:kern w:val="2"/>
          <w:sz w:val="28"/>
          <w:szCs w:val="28"/>
          <w:highlight w:val="none"/>
          <w:lang w:val="en-US" w:eastAsia="zh-CN" w:bidi="ar-SA"/>
        </w:rPr>
        <w:t>协助与获奖选手签订领奖协议，核准获奖选手提供的信息真实准确有效无误，协助收集获奖选手申领奖金的相关资料和办理有关手续，完成奖金发放。</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b/>
          <w:bCs/>
          <w:color w:val="auto"/>
          <w:kern w:val="2"/>
          <w:sz w:val="28"/>
          <w:szCs w:val="28"/>
          <w:highlight w:val="none"/>
          <w:lang w:val="en-US" w:eastAsia="zh-CN" w:bidi="ar-SA"/>
        </w:rPr>
        <w:t>17.赛事总结。</w:t>
      </w:r>
      <w:r>
        <w:rPr>
          <w:rFonts w:hint="default" w:ascii="仿宋_GB2312" w:hAnsi="仿宋_GB2312" w:eastAsia="仿宋_GB2312" w:cs="仿宋_GB2312"/>
          <w:color w:val="auto"/>
          <w:kern w:val="2"/>
          <w:sz w:val="28"/>
          <w:szCs w:val="28"/>
          <w:highlight w:val="none"/>
          <w:lang w:val="en-US" w:eastAsia="zh-CN" w:bidi="ar-SA"/>
        </w:rPr>
        <w:t>大赛结束后30个工作日内提交大赛工作总结，包括但不限于大赛的组织实施、宣传推介、参赛项目的组织发动、活动现场的安排、大赛现场服务、大赛成果及带给</w:t>
      </w:r>
      <w:r>
        <w:rPr>
          <w:rFonts w:hint="eastAsia" w:ascii="仿宋_GB2312" w:hAnsi="仿宋_GB2312" w:eastAsia="仿宋_GB2312" w:cs="仿宋_GB2312"/>
          <w:color w:val="auto"/>
          <w:kern w:val="2"/>
          <w:sz w:val="28"/>
          <w:szCs w:val="28"/>
          <w:highlight w:val="none"/>
          <w:lang w:val="en-US" w:eastAsia="zh-CN" w:bidi="ar-SA"/>
        </w:rPr>
        <w:t>福田区</w:t>
      </w:r>
      <w:r>
        <w:rPr>
          <w:rFonts w:hint="default" w:ascii="仿宋_GB2312" w:hAnsi="仿宋_GB2312" w:eastAsia="仿宋_GB2312" w:cs="仿宋_GB2312"/>
          <w:color w:val="auto"/>
          <w:kern w:val="2"/>
          <w:sz w:val="28"/>
          <w:szCs w:val="28"/>
          <w:highlight w:val="none"/>
          <w:lang w:val="en-US" w:eastAsia="zh-CN" w:bidi="ar-SA"/>
        </w:rPr>
        <w:t>的成效、存在问题及不足等各方面，工作总结应结构清晰、条理明晰、语言精练、数据准确、突出大赛的重点和亮点。</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b/>
          <w:bCs/>
          <w:color w:val="auto"/>
          <w:kern w:val="2"/>
          <w:sz w:val="28"/>
          <w:szCs w:val="28"/>
          <w:highlight w:val="none"/>
          <w:lang w:val="en-US" w:eastAsia="zh-CN" w:bidi="ar-SA"/>
        </w:rPr>
        <w:t>18.资料留存。</w:t>
      </w:r>
      <w:r>
        <w:rPr>
          <w:rFonts w:hint="default" w:ascii="仿宋_GB2312" w:hAnsi="仿宋_GB2312" w:eastAsia="仿宋_GB2312" w:cs="仿宋_GB2312"/>
          <w:color w:val="auto"/>
          <w:kern w:val="2"/>
          <w:sz w:val="28"/>
          <w:szCs w:val="28"/>
          <w:highlight w:val="none"/>
          <w:lang w:val="en-US" w:eastAsia="zh-CN" w:bidi="ar-SA"/>
        </w:rPr>
        <w:t>包括但不限于做好赛事各阶段所有的文字、图片、视频、设计样稿等资料分类整理、保存留档工作，并在赛事结束后30个工作日内打包提交给采购单位。</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b/>
          <w:bCs/>
          <w:color w:val="auto"/>
          <w:kern w:val="2"/>
          <w:sz w:val="28"/>
          <w:szCs w:val="28"/>
          <w:highlight w:val="none"/>
          <w:lang w:val="en-US" w:eastAsia="zh-CN" w:bidi="ar-SA"/>
        </w:rPr>
        <w:t>19.协助赛后服务。</w:t>
      </w:r>
      <w:r>
        <w:rPr>
          <w:rFonts w:hint="eastAsia" w:ascii="仿宋_GB2312" w:hAnsi="仿宋_GB2312" w:eastAsia="仿宋_GB2312" w:cs="仿宋_GB2312"/>
          <w:color w:val="auto"/>
          <w:kern w:val="2"/>
          <w:sz w:val="28"/>
          <w:szCs w:val="28"/>
          <w:highlight w:val="none"/>
          <w:lang w:val="en-US" w:eastAsia="zh-CN" w:bidi="ar-SA"/>
        </w:rPr>
        <w:t>海外分站赛决赛后提供收集获奖选手信息及参赛文件等赛后服务，并于赛后</w:t>
      </w:r>
      <w:r>
        <w:rPr>
          <w:rFonts w:hint="default" w:ascii="仿宋_GB2312" w:hAnsi="仿宋_GB2312" w:eastAsia="仿宋_GB2312" w:cs="仿宋_GB2312"/>
          <w:color w:val="auto"/>
          <w:kern w:val="2"/>
          <w:sz w:val="28"/>
          <w:szCs w:val="28"/>
          <w:highlight w:val="none"/>
          <w:lang w:val="en-US" w:eastAsia="zh-CN" w:bidi="ar-SA"/>
        </w:rPr>
        <w:t>协助开展政策解读会、融资对接会、推介会、讲座论坛等各类交流活动，组织选手与深圳市和</w:t>
      </w:r>
      <w:r>
        <w:rPr>
          <w:rFonts w:hint="eastAsia" w:ascii="仿宋_GB2312" w:hAnsi="仿宋_GB2312" w:eastAsia="仿宋_GB2312" w:cs="仿宋_GB2312"/>
          <w:color w:val="auto"/>
          <w:kern w:val="2"/>
          <w:sz w:val="28"/>
          <w:szCs w:val="28"/>
          <w:highlight w:val="none"/>
          <w:lang w:val="en-US" w:eastAsia="zh-CN" w:bidi="ar-SA"/>
        </w:rPr>
        <w:t>福田</w:t>
      </w:r>
      <w:r>
        <w:rPr>
          <w:rFonts w:hint="default" w:ascii="仿宋_GB2312" w:hAnsi="仿宋_GB2312" w:eastAsia="仿宋_GB2312" w:cs="仿宋_GB2312"/>
          <w:color w:val="auto"/>
          <w:kern w:val="2"/>
          <w:sz w:val="28"/>
          <w:szCs w:val="28"/>
          <w:highlight w:val="none"/>
          <w:lang w:val="en-US" w:eastAsia="zh-CN" w:bidi="ar-SA"/>
        </w:rPr>
        <w:t>区创业服务机构、创业园区、孵化器、投资机构、优秀企业等进行对接，完成至少5次线上、1次线下项目落地对接服务，积极推动项目落地，</w:t>
      </w:r>
      <w:r>
        <w:rPr>
          <w:rFonts w:hint="eastAsia" w:ascii="仿宋_GB2312" w:hAnsi="仿宋_GB2312" w:eastAsia="仿宋_GB2312" w:cs="仿宋_GB2312"/>
          <w:color w:val="auto"/>
          <w:kern w:val="2"/>
          <w:sz w:val="28"/>
          <w:szCs w:val="28"/>
          <w:highlight w:val="none"/>
          <w:lang w:val="en-US" w:eastAsia="zh-CN" w:bidi="ar-SA"/>
        </w:rPr>
        <w:t>海外</w:t>
      </w:r>
      <w:r>
        <w:rPr>
          <w:rFonts w:hint="default" w:ascii="仿宋_GB2312" w:hAnsi="仿宋_GB2312" w:eastAsia="仿宋_GB2312" w:cs="仿宋_GB2312"/>
          <w:color w:val="auto"/>
          <w:kern w:val="2"/>
          <w:sz w:val="28"/>
          <w:szCs w:val="28"/>
          <w:highlight w:val="none"/>
          <w:lang w:val="en-US" w:eastAsia="zh-CN" w:bidi="ar-SA"/>
        </w:rPr>
        <w:t>赛区</w:t>
      </w:r>
      <w:r>
        <w:rPr>
          <w:rFonts w:hint="eastAsia" w:ascii="仿宋_GB2312" w:hAnsi="仿宋_GB2312" w:eastAsia="仿宋_GB2312" w:cs="仿宋_GB2312"/>
          <w:color w:val="auto"/>
          <w:kern w:val="2"/>
          <w:sz w:val="28"/>
          <w:szCs w:val="28"/>
          <w:highlight w:val="none"/>
          <w:lang w:val="en-US" w:eastAsia="zh-CN" w:bidi="ar-SA"/>
        </w:rPr>
        <w:t>应</w:t>
      </w:r>
      <w:r>
        <w:rPr>
          <w:rFonts w:hint="default" w:ascii="仿宋_GB2312" w:hAnsi="仿宋_GB2312" w:eastAsia="仿宋_GB2312" w:cs="仿宋_GB2312"/>
          <w:color w:val="auto"/>
          <w:kern w:val="2"/>
          <w:sz w:val="28"/>
          <w:szCs w:val="28"/>
          <w:highlight w:val="none"/>
          <w:lang w:val="en-US" w:eastAsia="zh-CN" w:bidi="ar-SA"/>
        </w:rPr>
        <w:t>至少有5个意向落地项目。</w:t>
      </w:r>
      <w:r>
        <w:rPr>
          <w:rFonts w:hint="eastAsia" w:ascii="仿宋_GB2312" w:hAnsi="仿宋_GB2312" w:eastAsia="仿宋_GB2312" w:cs="仿宋_GB2312"/>
          <w:color w:val="auto"/>
          <w:kern w:val="2"/>
          <w:sz w:val="28"/>
          <w:szCs w:val="28"/>
          <w:highlight w:val="none"/>
          <w:lang w:val="en-US" w:eastAsia="zh-CN" w:bidi="ar-SA"/>
        </w:rPr>
        <w:t>协助组织所有晋级项目按要求参加行业决赛和总决赛，以及协助组织符合条件的选手来深参加考察活动。</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b/>
          <w:bCs/>
          <w:color w:val="auto"/>
          <w:kern w:val="2"/>
          <w:sz w:val="28"/>
          <w:szCs w:val="28"/>
          <w:highlight w:val="none"/>
          <w:lang w:val="en-US" w:eastAsia="zh-CN" w:bidi="ar-SA"/>
        </w:rPr>
        <w:t>20.人才线索收集</w:t>
      </w:r>
      <w:r>
        <w:rPr>
          <w:rFonts w:hint="eastAsia" w:ascii="仿宋_GB2312" w:hAnsi="仿宋_GB2312" w:eastAsia="仿宋_GB2312" w:cs="仿宋_GB2312"/>
          <w:b/>
          <w:bCs/>
          <w:color w:val="auto"/>
          <w:kern w:val="2"/>
          <w:sz w:val="28"/>
          <w:szCs w:val="28"/>
          <w:highlight w:val="none"/>
          <w:lang w:val="en-US" w:eastAsia="zh-CN" w:bidi="ar-SA"/>
        </w:rPr>
        <w:t>。</w:t>
      </w:r>
      <w:r>
        <w:rPr>
          <w:rFonts w:hint="default" w:ascii="仿宋_GB2312" w:hAnsi="仿宋_GB2312" w:eastAsia="仿宋_GB2312" w:cs="仿宋_GB2312"/>
          <w:color w:val="auto"/>
          <w:kern w:val="2"/>
          <w:sz w:val="28"/>
          <w:szCs w:val="28"/>
          <w:highlight w:val="none"/>
          <w:lang w:val="en-US" w:eastAsia="zh-CN" w:bidi="ar-SA"/>
        </w:rPr>
        <w:t>按采购单位要求收集</w:t>
      </w:r>
      <w:r>
        <w:rPr>
          <w:rFonts w:hint="eastAsia" w:ascii="仿宋_GB2312" w:hAnsi="仿宋_GB2312" w:eastAsia="仿宋_GB2312" w:cs="仿宋_GB2312"/>
          <w:color w:val="auto"/>
          <w:kern w:val="2"/>
          <w:sz w:val="28"/>
          <w:szCs w:val="28"/>
          <w:highlight w:val="none"/>
          <w:lang w:val="en-US" w:eastAsia="zh-CN" w:bidi="ar-SA"/>
        </w:rPr>
        <w:t>海外人才线索。</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b/>
          <w:bCs/>
          <w:color w:val="auto"/>
          <w:kern w:val="2"/>
          <w:sz w:val="28"/>
          <w:szCs w:val="28"/>
          <w:highlight w:val="none"/>
          <w:lang w:val="en-US" w:eastAsia="zh-CN" w:bidi="ar-SA"/>
        </w:rPr>
        <w:t>21.其他事项。</w:t>
      </w:r>
      <w:r>
        <w:rPr>
          <w:rFonts w:hint="eastAsia" w:ascii="仿宋_GB2312" w:hAnsi="仿宋_GB2312" w:eastAsia="仿宋_GB2312" w:cs="仿宋_GB2312"/>
          <w:color w:val="auto"/>
          <w:kern w:val="2"/>
          <w:sz w:val="28"/>
          <w:szCs w:val="28"/>
          <w:highlight w:val="none"/>
          <w:lang w:val="en-US" w:eastAsia="zh-CN" w:bidi="ar-SA"/>
        </w:rPr>
        <w:t>承办机构</w:t>
      </w:r>
      <w:r>
        <w:rPr>
          <w:rFonts w:hint="default" w:ascii="仿宋_GB2312" w:hAnsi="仿宋_GB2312" w:eastAsia="仿宋_GB2312" w:cs="仿宋_GB2312"/>
          <w:color w:val="auto"/>
          <w:kern w:val="2"/>
          <w:sz w:val="28"/>
          <w:szCs w:val="28"/>
          <w:highlight w:val="none"/>
          <w:lang w:val="en-US" w:eastAsia="zh-CN" w:bidi="ar-SA"/>
        </w:rPr>
        <w:t>负责所有阶段赛事现场的安全保障工作。提前摸清海外赛区前沿科技领域具备丰富创新资源的高校和园区、孵化器等，如美国波士顿的Mass Challenge</w:t>
      </w:r>
      <w:r>
        <w:rPr>
          <w:rFonts w:hint="eastAsia" w:ascii="仿宋_GB2312" w:hAnsi="仿宋_GB2312" w:eastAsia="仿宋_GB2312" w:cs="仿宋_GB2312"/>
          <w:color w:val="auto"/>
          <w:kern w:val="2"/>
          <w:sz w:val="28"/>
          <w:szCs w:val="28"/>
          <w:highlight w:val="none"/>
          <w:lang w:val="en-US" w:eastAsia="zh-CN" w:bidi="ar-SA"/>
        </w:rPr>
        <w:t>等，</w:t>
      </w:r>
      <w:r>
        <w:rPr>
          <w:rFonts w:hint="default" w:ascii="仿宋_GB2312" w:hAnsi="仿宋_GB2312" w:eastAsia="仿宋_GB2312" w:cs="仿宋_GB2312"/>
          <w:color w:val="auto"/>
          <w:kern w:val="2"/>
          <w:sz w:val="28"/>
          <w:szCs w:val="28"/>
          <w:highlight w:val="none"/>
          <w:lang w:val="en-US" w:eastAsia="zh-CN" w:bidi="ar-SA"/>
        </w:rPr>
        <w:t>以及匹配赛道的各大高校实验室、创新中心，定向开展对接合作。配合大赛组委会在赛事期间组织优秀选手参加项目对接等系列活动。在赛事期间协助进行境外投资推广和创新创业交流活动。</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default" w:ascii="楷体_GB2312" w:eastAsia="楷体_GB2312"/>
          <w:color w:val="auto"/>
          <w:sz w:val="28"/>
          <w:szCs w:val="28"/>
          <w:highlight w:val="none"/>
          <w:lang w:val="en-US" w:eastAsia="zh-CN"/>
        </w:rPr>
      </w:pPr>
      <w:r>
        <w:rPr>
          <w:rFonts w:hint="default" w:ascii="楷体_GB2312" w:eastAsia="楷体_GB2312"/>
          <w:color w:val="auto"/>
          <w:sz w:val="28"/>
          <w:szCs w:val="28"/>
          <w:highlight w:val="none"/>
          <w:lang w:val="en-US" w:eastAsia="zh-CN"/>
        </w:rPr>
        <w:t>（</w:t>
      </w:r>
      <w:r>
        <w:rPr>
          <w:rFonts w:hint="eastAsia" w:ascii="楷体_GB2312" w:eastAsia="楷体_GB2312"/>
          <w:color w:val="auto"/>
          <w:sz w:val="28"/>
          <w:szCs w:val="28"/>
          <w:highlight w:val="none"/>
          <w:lang w:val="en-US" w:eastAsia="zh-CN"/>
        </w:rPr>
        <w:t>二</w:t>
      </w:r>
      <w:r>
        <w:rPr>
          <w:rFonts w:hint="default" w:ascii="楷体_GB2312" w:eastAsia="楷体_GB2312"/>
          <w:color w:val="auto"/>
          <w:sz w:val="28"/>
          <w:szCs w:val="28"/>
          <w:highlight w:val="none"/>
          <w:lang w:val="en-US" w:eastAsia="zh-CN"/>
        </w:rPr>
        <w:t>）人员要求</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承办单位</w:t>
      </w:r>
      <w:r>
        <w:rPr>
          <w:rFonts w:hint="default" w:ascii="仿宋_GB2312" w:hAnsi="仿宋_GB2312" w:eastAsia="仿宋_GB2312" w:cs="仿宋_GB2312"/>
          <w:color w:val="auto"/>
          <w:kern w:val="2"/>
          <w:sz w:val="28"/>
          <w:szCs w:val="28"/>
          <w:highlight w:val="none"/>
          <w:lang w:val="en-US" w:eastAsia="zh-CN" w:bidi="ar-SA"/>
        </w:rPr>
        <w:t>应在海外分站赛赛事服务期间，安排1位项目负责人，</w:t>
      </w:r>
      <w:r>
        <w:rPr>
          <w:rFonts w:hint="eastAsia" w:ascii="仿宋_GB2312" w:hAnsi="仿宋_GB2312" w:eastAsia="仿宋_GB2312" w:cs="仿宋_GB2312"/>
          <w:color w:val="auto"/>
          <w:kern w:val="2"/>
          <w:sz w:val="28"/>
          <w:szCs w:val="28"/>
          <w:highlight w:val="none"/>
          <w:lang w:val="en-US" w:eastAsia="zh-CN" w:bidi="ar-SA"/>
        </w:rPr>
        <w:t>和</w:t>
      </w:r>
      <w:r>
        <w:rPr>
          <w:rFonts w:hint="default" w:ascii="仿宋_GB2312" w:hAnsi="仿宋_GB2312" w:eastAsia="仿宋_GB2312" w:cs="仿宋_GB2312"/>
          <w:color w:val="auto"/>
          <w:kern w:val="2"/>
          <w:sz w:val="28"/>
          <w:szCs w:val="28"/>
          <w:highlight w:val="none"/>
          <w:lang w:val="en-US" w:eastAsia="zh-CN" w:bidi="ar-SA"/>
        </w:rPr>
        <w:t>5人以上团队（不含项目负责人）专门负责活动策划与执行，团队中应至少有1人具备英语交流及翻译能力。</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default" w:ascii="楷体_GB2312" w:eastAsia="楷体_GB2312"/>
          <w:color w:val="auto"/>
          <w:sz w:val="28"/>
          <w:szCs w:val="28"/>
          <w:highlight w:val="none"/>
          <w:lang w:val="en-US" w:eastAsia="zh-CN"/>
        </w:rPr>
      </w:pPr>
      <w:r>
        <w:rPr>
          <w:rFonts w:hint="default" w:ascii="楷体_GB2312" w:eastAsia="楷体_GB2312"/>
          <w:color w:val="auto"/>
          <w:sz w:val="28"/>
          <w:szCs w:val="28"/>
          <w:highlight w:val="none"/>
          <w:lang w:val="en-US" w:eastAsia="zh-CN"/>
        </w:rPr>
        <w:t>（</w:t>
      </w:r>
      <w:r>
        <w:rPr>
          <w:rFonts w:hint="eastAsia" w:ascii="楷体_GB2312" w:eastAsia="楷体_GB2312"/>
          <w:color w:val="auto"/>
          <w:sz w:val="28"/>
          <w:szCs w:val="28"/>
          <w:highlight w:val="none"/>
          <w:lang w:val="en-US" w:eastAsia="zh-CN"/>
        </w:rPr>
        <w:t>三</w:t>
      </w:r>
      <w:r>
        <w:rPr>
          <w:rFonts w:hint="default" w:ascii="楷体_GB2312" w:eastAsia="楷体_GB2312"/>
          <w:color w:val="auto"/>
          <w:sz w:val="28"/>
          <w:szCs w:val="28"/>
          <w:highlight w:val="none"/>
          <w:lang w:val="en-US" w:eastAsia="zh-CN"/>
        </w:rPr>
        <w:t>）投入设施要求</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赛事筹备期间，与海外执行人员可随时开展线上视频会议。海外办赛期间，应按照市组委会及采购单位要求设置摄影摄像、同声传译、灯光音响、高清屏幕、打分系统等设施设备，保障赛事顺利进行。</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default" w:ascii="楷体_GB2312" w:eastAsia="楷体_GB2312"/>
          <w:color w:val="auto"/>
          <w:sz w:val="28"/>
          <w:szCs w:val="28"/>
          <w:highlight w:val="none"/>
          <w:lang w:val="en-US" w:eastAsia="zh-CN"/>
        </w:rPr>
      </w:pPr>
      <w:r>
        <w:rPr>
          <w:rFonts w:hint="default" w:ascii="楷体_GB2312" w:eastAsia="楷体_GB2312"/>
          <w:color w:val="auto"/>
          <w:sz w:val="28"/>
          <w:szCs w:val="28"/>
          <w:highlight w:val="none"/>
          <w:lang w:val="en-US" w:eastAsia="zh-CN"/>
        </w:rPr>
        <w:t>（</w:t>
      </w:r>
      <w:r>
        <w:rPr>
          <w:rFonts w:hint="eastAsia" w:ascii="楷体_GB2312" w:eastAsia="楷体_GB2312"/>
          <w:color w:val="auto"/>
          <w:sz w:val="28"/>
          <w:szCs w:val="28"/>
          <w:highlight w:val="none"/>
          <w:lang w:val="en-US" w:eastAsia="zh-CN"/>
        </w:rPr>
        <w:t>四</w:t>
      </w:r>
      <w:r>
        <w:rPr>
          <w:rFonts w:hint="default" w:ascii="楷体_GB2312" w:eastAsia="楷体_GB2312"/>
          <w:color w:val="auto"/>
          <w:sz w:val="28"/>
          <w:szCs w:val="28"/>
          <w:highlight w:val="none"/>
          <w:lang w:val="en-US" w:eastAsia="zh-CN"/>
        </w:rPr>
        <w:t>）工作指标要求</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default" w:ascii="仿宋_GB2312" w:hAnsi="仿宋_GB2312" w:eastAsia="仿宋_GB2312" w:cs="仿宋_GB2312"/>
          <w:color w:val="auto"/>
          <w:kern w:val="2"/>
          <w:sz w:val="28"/>
          <w:szCs w:val="28"/>
          <w:highlight w:val="none"/>
          <w:lang w:val="en-US" w:eastAsia="zh-CN" w:bidi="ar-SA"/>
        </w:rPr>
        <w:t>顺利举办</w:t>
      </w:r>
      <w:r>
        <w:rPr>
          <w:rFonts w:hint="eastAsia" w:ascii="仿宋_GB2312" w:hAnsi="仿宋_GB2312" w:eastAsia="仿宋_GB2312" w:cs="仿宋_GB2312"/>
          <w:color w:val="auto"/>
          <w:kern w:val="2"/>
          <w:sz w:val="28"/>
          <w:szCs w:val="28"/>
          <w:highlight w:val="none"/>
          <w:lang w:val="en-US" w:eastAsia="zh-CN" w:bidi="ar-SA"/>
        </w:rPr>
        <w:t>美国波士顿</w:t>
      </w:r>
      <w:r>
        <w:rPr>
          <w:rFonts w:hint="default" w:ascii="仿宋_GB2312" w:hAnsi="仿宋_GB2312" w:eastAsia="仿宋_GB2312" w:cs="仿宋_GB2312"/>
          <w:color w:val="auto"/>
          <w:kern w:val="2"/>
          <w:sz w:val="28"/>
          <w:szCs w:val="28"/>
          <w:highlight w:val="none"/>
          <w:lang w:val="en-US" w:eastAsia="zh-CN" w:bidi="ar-SA"/>
        </w:rPr>
        <w:t>海外分站赛，征集优质项目报名参赛，</w:t>
      </w:r>
      <w:r>
        <w:rPr>
          <w:rFonts w:hint="eastAsia" w:ascii="仿宋_GB2312" w:hAnsi="仿宋_GB2312" w:eastAsia="仿宋_GB2312" w:cs="仿宋_GB2312"/>
          <w:color w:val="auto"/>
          <w:kern w:val="2"/>
          <w:sz w:val="28"/>
          <w:szCs w:val="28"/>
          <w:highlight w:val="none"/>
          <w:lang w:val="en-US" w:eastAsia="zh-CN" w:bidi="ar-SA"/>
        </w:rPr>
        <w:t>该站</w:t>
      </w:r>
      <w:r>
        <w:rPr>
          <w:rFonts w:hint="default" w:ascii="仿宋_GB2312" w:hAnsi="仿宋_GB2312" w:eastAsia="仿宋_GB2312" w:cs="仿宋_GB2312"/>
          <w:color w:val="auto"/>
          <w:kern w:val="2"/>
          <w:sz w:val="28"/>
          <w:szCs w:val="28"/>
          <w:highlight w:val="none"/>
          <w:lang w:val="en-US" w:eastAsia="zh-CN" w:bidi="ar-SA"/>
        </w:rPr>
        <w:t>至少有</w:t>
      </w:r>
      <w:r>
        <w:rPr>
          <w:rFonts w:hint="eastAsia" w:ascii="仿宋_GB2312" w:hAnsi="仿宋_GB2312" w:eastAsia="仿宋_GB2312" w:cs="仿宋_GB2312"/>
          <w:color w:val="auto"/>
          <w:kern w:val="2"/>
          <w:sz w:val="28"/>
          <w:szCs w:val="28"/>
          <w:highlight w:val="none"/>
          <w:lang w:val="en-US" w:eastAsia="zh-CN" w:bidi="ar-SA"/>
        </w:rPr>
        <w:t>1</w:t>
      </w:r>
      <w:r>
        <w:rPr>
          <w:rFonts w:hint="default" w:ascii="仿宋_GB2312" w:hAnsi="仿宋_GB2312" w:eastAsia="仿宋_GB2312" w:cs="仿宋_GB2312"/>
          <w:color w:val="auto"/>
          <w:kern w:val="2"/>
          <w:sz w:val="28"/>
          <w:szCs w:val="28"/>
          <w:highlight w:val="none"/>
          <w:lang w:val="en-US" w:eastAsia="zh-CN" w:bidi="ar-SA"/>
        </w:rPr>
        <w:t>个项目晋级总决赛</w:t>
      </w:r>
      <w:r>
        <w:rPr>
          <w:rFonts w:hint="eastAsia" w:ascii="仿宋_GB2312" w:hAnsi="仿宋_GB2312" w:eastAsia="仿宋_GB2312" w:cs="仿宋_GB2312"/>
          <w:color w:val="auto"/>
          <w:kern w:val="2"/>
          <w:sz w:val="28"/>
          <w:szCs w:val="28"/>
          <w:highlight w:val="none"/>
          <w:lang w:val="en-US" w:eastAsia="zh-CN" w:bidi="ar-SA"/>
        </w:rPr>
        <w:t>。</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w:t>
      </w:r>
      <w:r>
        <w:rPr>
          <w:rFonts w:hint="default" w:ascii="仿宋_GB2312" w:hAnsi="仿宋_GB2312" w:eastAsia="仿宋_GB2312" w:cs="仿宋_GB2312"/>
          <w:color w:val="auto"/>
          <w:kern w:val="2"/>
          <w:sz w:val="28"/>
          <w:szCs w:val="28"/>
          <w:highlight w:val="none"/>
          <w:lang w:val="en-US" w:eastAsia="zh-CN" w:bidi="ar-SA"/>
        </w:rPr>
        <w:t>持续协助开展项目落地对接服务，海外分站赛至少有5个意向落地项目</w:t>
      </w:r>
      <w:r>
        <w:rPr>
          <w:rFonts w:hint="eastAsia" w:ascii="仿宋_GB2312" w:hAnsi="仿宋_GB2312" w:eastAsia="仿宋_GB2312" w:cs="仿宋_GB2312"/>
          <w:color w:val="auto"/>
          <w:kern w:val="2"/>
          <w:sz w:val="28"/>
          <w:szCs w:val="28"/>
          <w:highlight w:val="none"/>
          <w:lang w:val="en-US" w:eastAsia="zh-CN" w:bidi="ar-SA"/>
        </w:rPr>
        <w:t>。</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default" w:ascii="楷体_GB2312" w:eastAsia="楷体_GB2312"/>
          <w:color w:val="auto"/>
          <w:sz w:val="28"/>
          <w:szCs w:val="28"/>
          <w:highlight w:val="none"/>
          <w:lang w:val="en-US" w:eastAsia="zh-CN"/>
        </w:rPr>
      </w:pPr>
      <w:r>
        <w:rPr>
          <w:rFonts w:hint="default" w:ascii="楷体_GB2312" w:eastAsia="楷体_GB2312"/>
          <w:color w:val="auto"/>
          <w:sz w:val="28"/>
          <w:szCs w:val="28"/>
          <w:highlight w:val="none"/>
          <w:lang w:val="en-US" w:eastAsia="zh-CN"/>
        </w:rPr>
        <w:t>（</w:t>
      </w:r>
      <w:r>
        <w:rPr>
          <w:rFonts w:hint="eastAsia" w:ascii="楷体_GB2312" w:eastAsia="楷体_GB2312"/>
          <w:color w:val="auto"/>
          <w:sz w:val="28"/>
          <w:szCs w:val="28"/>
          <w:highlight w:val="none"/>
          <w:lang w:val="en-US" w:eastAsia="zh-CN"/>
        </w:rPr>
        <w:t>五</w:t>
      </w:r>
      <w:r>
        <w:rPr>
          <w:rFonts w:hint="default" w:ascii="楷体_GB2312" w:eastAsia="楷体_GB2312"/>
          <w:color w:val="auto"/>
          <w:sz w:val="28"/>
          <w:szCs w:val="28"/>
          <w:highlight w:val="none"/>
          <w:lang w:val="en-US" w:eastAsia="zh-CN"/>
        </w:rPr>
        <w:t>）其他要求</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1.承办单位</w:t>
      </w:r>
      <w:r>
        <w:rPr>
          <w:rFonts w:hint="default" w:ascii="仿宋_GB2312" w:hAnsi="仿宋_GB2312" w:eastAsia="仿宋_GB2312" w:cs="仿宋_GB2312"/>
          <w:color w:val="auto"/>
          <w:kern w:val="2"/>
          <w:sz w:val="28"/>
          <w:szCs w:val="28"/>
          <w:highlight w:val="none"/>
          <w:lang w:val="en-US" w:eastAsia="zh-CN" w:bidi="ar-SA"/>
        </w:rPr>
        <w:t>应</w:t>
      </w:r>
      <w:r>
        <w:rPr>
          <w:rFonts w:hint="eastAsia" w:ascii="仿宋_GB2312" w:hAnsi="仿宋_GB2312" w:eastAsia="仿宋_GB2312" w:cs="仿宋_GB2312"/>
          <w:color w:val="auto"/>
          <w:kern w:val="2"/>
          <w:sz w:val="28"/>
          <w:szCs w:val="28"/>
          <w:highlight w:val="none"/>
          <w:lang w:val="en-US" w:eastAsia="zh-CN" w:bidi="ar-SA"/>
        </w:rPr>
        <w:t>在北美洲举办过赛事、活动；或</w:t>
      </w:r>
      <w:r>
        <w:rPr>
          <w:rFonts w:hint="default" w:ascii="仿宋_GB2312" w:hAnsi="仿宋_GB2312" w:eastAsia="仿宋_GB2312" w:cs="仿宋_GB2312"/>
          <w:color w:val="auto"/>
          <w:kern w:val="2"/>
          <w:sz w:val="28"/>
          <w:szCs w:val="28"/>
          <w:highlight w:val="none"/>
          <w:lang w:val="en-US" w:eastAsia="zh-CN" w:bidi="ar-SA"/>
        </w:rPr>
        <w:t>具有比较丰富的北美洲</w:t>
      </w:r>
      <w:r>
        <w:rPr>
          <w:rFonts w:hint="eastAsia" w:ascii="仿宋_GB2312" w:hAnsi="仿宋_GB2312" w:eastAsia="仿宋_GB2312" w:cs="仿宋_GB2312"/>
          <w:color w:val="auto"/>
          <w:kern w:val="2"/>
          <w:sz w:val="28"/>
          <w:szCs w:val="28"/>
          <w:highlight w:val="none"/>
          <w:lang w:val="en-US" w:eastAsia="zh-CN" w:bidi="ar-SA"/>
        </w:rPr>
        <w:t>合作</w:t>
      </w:r>
      <w:r>
        <w:rPr>
          <w:rFonts w:hint="default" w:ascii="仿宋_GB2312" w:hAnsi="仿宋_GB2312" w:eastAsia="仿宋_GB2312" w:cs="仿宋_GB2312"/>
          <w:color w:val="auto"/>
          <w:kern w:val="2"/>
          <w:sz w:val="28"/>
          <w:szCs w:val="28"/>
          <w:highlight w:val="none"/>
          <w:lang w:val="en-US" w:eastAsia="zh-CN" w:bidi="ar-SA"/>
        </w:rPr>
        <w:t>资源，尤其是</w:t>
      </w:r>
      <w:r>
        <w:rPr>
          <w:rFonts w:hint="eastAsia" w:ascii="仿宋_GB2312" w:hAnsi="仿宋_GB2312" w:eastAsia="仿宋_GB2312" w:cs="仿宋_GB2312"/>
          <w:color w:val="auto"/>
          <w:kern w:val="2"/>
          <w:sz w:val="28"/>
          <w:szCs w:val="28"/>
          <w:highlight w:val="none"/>
          <w:lang w:val="en-US" w:eastAsia="zh-CN" w:bidi="ar-SA"/>
        </w:rPr>
        <w:t>美国波士顿</w:t>
      </w:r>
      <w:r>
        <w:rPr>
          <w:rFonts w:hint="default" w:ascii="仿宋_GB2312" w:hAnsi="仿宋_GB2312" w:eastAsia="仿宋_GB2312" w:cs="仿宋_GB2312"/>
          <w:color w:val="auto"/>
          <w:kern w:val="2"/>
          <w:sz w:val="28"/>
          <w:szCs w:val="28"/>
          <w:highlight w:val="none"/>
          <w:lang w:val="en-US" w:eastAsia="zh-CN" w:bidi="ar-SA"/>
        </w:rPr>
        <w:t>当地资源，包括但不限于：当地大使或领事馆、政府机构、企业、高校、投融资机构、科研机构、学会协会、华人留学生圈层、孵化器、相关展馆、创新平台等</w:t>
      </w:r>
      <w:r>
        <w:rPr>
          <w:rFonts w:hint="eastAsia" w:ascii="仿宋_GB2312" w:hAnsi="仿宋_GB2312" w:eastAsia="仿宋_GB2312" w:cs="仿宋_GB2312"/>
          <w:color w:val="auto"/>
          <w:kern w:val="2"/>
          <w:sz w:val="28"/>
          <w:szCs w:val="28"/>
          <w:highlight w:val="none"/>
          <w:lang w:val="en-US" w:eastAsia="zh-CN" w:bidi="ar-SA"/>
        </w:rPr>
        <w:t>。</w:t>
      </w:r>
      <w:r>
        <w:rPr>
          <w:rFonts w:hint="default" w:ascii="仿宋_GB2312" w:hAnsi="仿宋_GB2312" w:eastAsia="仿宋_GB2312" w:cs="仿宋_GB2312"/>
          <w:color w:val="auto"/>
          <w:kern w:val="2"/>
          <w:sz w:val="28"/>
          <w:szCs w:val="28"/>
          <w:highlight w:val="none"/>
          <w:lang w:val="en-US" w:eastAsia="zh-CN" w:bidi="ar-SA"/>
        </w:rPr>
        <w:t>项目征集、参访安排、赛事现场执行等重点工作出现进度缓慢或者突发情况时，应具备提供应对措施及相关的合理化建议</w:t>
      </w:r>
      <w:r>
        <w:rPr>
          <w:rFonts w:hint="eastAsia" w:ascii="仿宋_GB2312" w:hAnsi="仿宋_GB2312" w:eastAsia="仿宋_GB2312" w:cs="仿宋_GB2312"/>
          <w:color w:val="auto"/>
          <w:kern w:val="2"/>
          <w:sz w:val="28"/>
          <w:szCs w:val="28"/>
          <w:highlight w:val="none"/>
          <w:lang w:val="en-US" w:eastAsia="zh-CN" w:bidi="ar-SA"/>
        </w:rPr>
        <w:t>能力</w:t>
      </w:r>
      <w:r>
        <w:rPr>
          <w:rFonts w:hint="default" w:ascii="仿宋_GB2312" w:hAnsi="仿宋_GB2312" w:eastAsia="仿宋_GB2312" w:cs="仿宋_GB2312"/>
          <w:color w:val="auto"/>
          <w:kern w:val="2"/>
          <w:sz w:val="28"/>
          <w:szCs w:val="28"/>
          <w:highlight w:val="none"/>
          <w:lang w:val="en-US" w:eastAsia="zh-CN" w:bidi="ar-SA"/>
        </w:rPr>
        <w:t>，确保活动顺利开展。</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w:t>
      </w:r>
      <w:r>
        <w:rPr>
          <w:rFonts w:hint="default" w:ascii="仿宋_GB2312" w:hAnsi="仿宋_GB2312" w:eastAsia="仿宋_GB2312" w:cs="仿宋_GB2312"/>
          <w:color w:val="auto"/>
          <w:kern w:val="2"/>
          <w:sz w:val="28"/>
          <w:szCs w:val="28"/>
          <w:highlight w:val="none"/>
          <w:lang w:val="en-US" w:eastAsia="zh-CN" w:bidi="ar-SA"/>
        </w:rPr>
        <w:t>项目征集阶段应对标历届获奖项目情况，严格把控项目质量，征集优质项目参赛。政务团赴海外参加赛事活动及相关参访活动期间，</w:t>
      </w:r>
      <w:r>
        <w:rPr>
          <w:rFonts w:hint="eastAsia" w:ascii="仿宋_GB2312" w:hAnsi="仿宋_GB2312" w:eastAsia="仿宋_GB2312" w:cs="仿宋_GB2312"/>
          <w:color w:val="auto"/>
          <w:kern w:val="2"/>
          <w:sz w:val="28"/>
          <w:szCs w:val="28"/>
          <w:highlight w:val="none"/>
          <w:lang w:val="en-US" w:eastAsia="zh-CN" w:bidi="ar-SA"/>
        </w:rPr>
        <w:t>承办单位</w:t>
      </w:r>
      <w:r>
        <w:rPr>
          <w:rFonts w:hint="default" w:ascii="仿宋_GB2312" w:hAnsi="仿宋_GB2312" w:eastAsia="仿宋_GB2312" w:cs="仿宋_GB2312"/>
          <w:color w:val="auto"/>
          <w:kern w:val="2"/>
          <w:sz w:val="28"/>
          <w:szCs w:val="28"/>
          <w:highlight w:val="none"/>
          <w:lang w:val="en-US" w:eastAsia="zh-CN" w:bidi="ar-SA"/>
        </w:rPr>
        <w:t>应安排其项目负责人或中高层以上的主要负责人前往美国波士顿协助组织开展相关活动。</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3.承办单位</w:t>
      </w:r>
      <w:r>
        <w:rPr>
          <w:rFonts w:hint="default" w:ascii="仿宋_GB2312" w:hAnsi="仿宋_GB2312" w:eastAsia="仿宋_GB2312" w:cs="仿宋_GB2312"/>
          <w:color w:val="auto"/>
          <w:kern w:val="2"/>
          <w:sz w:val="28"/>
          <w:szCs w:val="28"/>
          <w:highlight w:val="none"/>
          <w:lang w:val="en-US" w:eastAsia="zh-CN" w:bidi="ar-SA"/>
        </w:rPr>
        <w:t>应根据项目需要配备项目负责人及项目团队。</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三、商务需求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方正楷体_GBK" w:hAnsi="方正楷体_GBK" w:eastAsia="方正楷体_GBK" w:cs="方正楷体_GBK"/>
          <w:b w:val="0"/>
          <w:bCs w:val="0"/>
          <w:i w:val="0"/>
          <w:caps w:val="0"/>
          <w:color w:val="000000"/>
          <w:spacing w:val="0"/>
          <w:sz w:val="28"/>
          <w:szCs w:val="28"/>
          <w:highlight w:val="none"/>
        </w:rPr>
      </w:pPr>
      <w:r>
        <w:rPr>
          <w:rFonts w:hint="eastAsia" w:ascii="楷体_GB2312" w:eastAsia="楷体_GB2312"/>
          <w:color w:val="auto"/>
          <w:sz w:val="28"/>
          <w:szCs w:val="28"/>
          <w:highlight w:val="none"/>
          <w:lang w:val="en-US" w:eastAsia="zh-CN"/>
        </w:rPr>
        <w:t>（一）服务期限</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b w:val="0"/>
          <w:bCs w:val="0"/>
          <w:i w:val="0"/>
          <w:caps w:val="0"/>
          <w:color w:val="000000"/>
          <w:spacing w:val="0"/>
          <w:sz w:val="28"/>
          <w:szCs w:val="28"/>
          <w:highlight w:val="none"/>
          <w:lang w:val="en-US" w:eastAsia="zh-CN"/>
        </w:rPr>
      </w:pPr>
      <w:r>
        <w:rPr>
          <w:rFonts w:hint="eastAsia" w:ascii="仿宋_GB2312" w:hAnsi="仿宋_GB2312" w:eastAsia="仿宋_GB2312" w:cs="仿宋_GB2312"/>
          <w:b w:val="0"/>
          <w:bCs w:val="0"/>
          <w:i w:val="0"/>
          <w:caps w:val="0"/>
          <w:color w:val="000000"/>
          <w:spacing w:val="0"/>
          <w:sz w:val="28"/>
          <w:szCs w:val="28"/>
          <w:highlight w:val="none"/>
          <w:lang w:val="en-US" w:eastAsia="zh-CN"/>
        </w:rPr>
        <w:t>自合同签订之日起至2025年12月31日。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楷体_GB2312" w:eastAsia="楷体_GB2312"/>
          <w:color w:val="auto"/>
          <w:sz w:val="28"/>
          <w:szCs w:val="28"/>
          <w:highlight w:val="none"/>
          <w:lang w:val="en-US" w:eastAsia="zh-CN"/>
        </w:rPr>
      </w:pPr>
      <w:r>
        <w:rPr>
          <w:rFonts w:hint="eastAsia" w:ascii="楷体_GB2312" w:eastAsia="楷体_GB2312"/>
          <w:color w:val="auto"/>
          <w:sz w:val="28"/>
          <w:szCs w:val="28"/>
          <w:highlight w:val="none"/>
          <w:lang w:val="en-US" w:eastAsia="zh-CN"/>
        </w:rPr>
        <w:t>（二）服务地点</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366" w:firstLineChars="131"/>
        <w:jc w:val="both"/>
        <w:textAlignment w:val="auto"/>
        <w:rPr>
          <w:rFonts w:hint="default" w:ascii="仿宋_GB2312" w:hAnsi="仿宋_GB2312" w:eastAsia="仿宋_GB2312" w:cs="仿宋_GB2312"/>
          <w:b w:val="0"/>
          <w:bCs w:val="0"/>
          <w:i w:val="0"/>
          <w:caps w:val="0"/>
          <w:color w:val="000000"/>
          <w:spacing w:val="0"/>
          <w:sz w:val="28"/>
          <w:szCs w:val="28"/>
          <w:highlight w:val="none"/>
          <w:lang w:val="en-US" w:eastAsia="zh-CN"/>
        </w:rPr>
      </w:pPr>
      <w:r>
        <w:rPr>
          <w:rFonts w:hint="eastAsia" w:ascii="仿宋_GB2312" w:hAnsi="仿宋_GB2312" w:eastAsia="仿宋_GB2312" w:cs="仿宋_GB2312"/>
          <w:b w:val="0"/>
          <w:bCs w:val="0"/>
          <w:i w:val="0"/>
          <w:caps w:val="0"/>
          <w:color w:val="000000"/>
          <w:spacing w:val="0"/>
          <w:sz w:val="28"/>
          <w:szCs w:val="28"/>
          <w:highlight w:val="none"/>
          <w:lang w:val="en-US" w:eastAsia="zh-CN"/>
        </w:rPr>
        <w:t xml:space="preserve"> 采购人指定地点。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楷体_GB2312" w:eastAsia="楷体_GB2312"/>
          <w:color w:val="auto"/>
          <w:sz w:val="28"/>
          <w:szCs w:val="28"/>
          <w:highlight w:val="none"/>
          <w:lang w:val="en-US" w:eastAsia="zh-CN"/>
        </w:rPr>
      </w:pPr>
      <w:r>
        <w:rPr>
          <w:rFonts w:hint="eastAsia" w:ascii="楷体_GB2312" w:eastAsia="楷体_GB2312"/>
          <w:color w:val="auto"/>
          <w:sz w:val="28"/>
          <w:szCs w:val="28"/>
          <w:highlight w:val="none"/>
          <w:lang w:val="en-US" w:eastAsia="zh-CN"/>
        </w:rPr>
        <w:t>（三）报价要求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仿宋_GB2312" w:hAnsi="仿宋_GB2312" w:eastAsia="仿宋_GB2312" w:cs="仿宋_GB2312"/>
          <w:i w:val="0"/>
          <w:caps w:val="0"/>
          <w:color w:val="000000"/>
          <w:spacing w:val="0"/>
          <w:sz w:val="28"/>
          <w:szCs w:val="28"/>
          <w:highlight w:val="none"/>
          <w:shd w:val="clear" w:color="auto" w:fill="FFFFFF"/>
          <w:lang w:val="en-US" w:eastAsia="zh-CN"/>
        </w:rPr>
      </w:pPr>
      <w:r>
        <w:rPr>
          <w:rFonts w:hint="eastAsia" w:ascii="仿宋_GB2312" w:hAnsi="仿宋_GB2312" w:eastAsia="仿宋_GB2312" w:cs="仿宋_GB2312"/>
          <w:i w:val="0"/>
          <w:caps w:val="0"/>
          <w:color w:val="000000"/>
          <w:spacing w:val="0"/>
          <w:sz w:val="28"/>
          <w:szCs w:val="28"/>
          <w:highlight w:val="none"/>
          <w:shd w:val="clear" w:color="auto" w:fill="FFFFFF"/>
          <w:lang w:val="en-US" w:eastAsia="zh-CN"/>
        </w:rPr>
        <w:t>1.本项目服务费采用包干制，应包括服务成本、法定税费和企业的利润。由响应人根据采购文件所提供的资料自行测算投标报价；一经中选，报价总价作为供应商与采购人签定的合同金额，合同期限内不做调整；</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仿宋_GB2312" w:hAnsi="仿宋_GB2312" w:eastAsia="仿宋_GB2312" w:cs="仿宋_GB2312"/>
          <w:i w:val="0"/>
          <w:caps w:val="0"/>
          <w:color w:val="000000"/>
          <w:spacing w:val="0"/>
          <w:sz w:val="28"/>
          <w:szCs w:val="28"/>
          <w:highlight w:val="none"/>
          <w:shd w:val="clear" w:color="auto" w:fill="FFFFFF"/>
          <w:lang w:val="en-US" w:eastAsia="zh-CN"/>
        </w:rPr>
      </w:pPr>
      <w:r>
        <w:rPr>
          <w:rFonts w:hint="eastAsia" w:ascii="仿宋_GB2312" w:hAnsi="仿宋_GB2312" w:eastAsia="仿宋_GB2312" w:cs="仿宋_GB2312"/>
          <w:i w:val="0"/>
          <w:caps w:val="0"/>
          <w:color w:val="000000"/>
          <w:spacing w:val="0"/>
          <w:sz w:val="28"/>
          <w:szCs w:val="28"/>
          <w:highlight w:val="none"/>
          <w:shd w:val="clear" w:color="auto" w:fill="FFFFFF"/>
          <w:lang w:val="en-US" w:eastAsia="zh-CN"/>
        </w:rPr>
        <w:t>2.响应人应根据本企业的成本自行决定报价，但不得以低于其企业成本的报价投标；</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仿宋_GB2312" w:hAnsi="仿宋_GB2312" w:eastAsia="仿宋_GB2312" w:cs="仿宋_GB2312"/>
          <w:i w:val="0"/>
          <w:caps w:val="0"/>
          <w:color w:val="000000"/>
          <w:spacing w:val="0"/>
          <w:sz w:val="28"/>
          <w:szCs w:val="28"/>
          <w:highlight w:val="none"/>
          <w:shd w:val="clear" w:color="auto" w:fill="FFFFFF"/>
          <w:lang w:val="en-US" w:eastAsia="zh-CN"/>
        </w:rPr>
      </w:pPr>
      <w:r>
        <w:rPr>
          <w:rFonts w:hint="eastAsia" w:ascii="仿宋_GB2312" w:hAnsi="仿宋_GB2312" w:eastAsia="仿宋_GB2312" w:cs="仿宋_GB2312"/>
          <w:i w:val="0"/>
          <w:caps w:val="0"/>
          <w:color w:val="000000"/>
          <w:spacing w:val="0"/>
          <w:sz w:val="28"/>
          <w:szCs w:val="28"/>
          <w:highlight w:val="none"/>
          <w:shd w:val="clear" w:color="auto" w:fill="FFFFFF"/>
          <w:lang w:val="en-US" w:eastAsia="zh-CN"/>
        </w:rPr>
        <w:t>3.响应人的报价不得超过项目预算金额；</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仿宋_GB2312" w:hAnsi="仿宋_GB2312" w:eastAsia="仿宋_GB2312" w:cs="仿宋_GB2312"/>
          <w:i w:val="0"/>
          <w:caps w:val="0"/>
          <w:color w:val="000000"/>
          <w:spacing w:val="0"/>
          <w:sz w:val="28"/>
          <w:szCs w:val="28"/>
          <w:highlight w:val="none"/>
          <w:shd w:val="clear" w:color="auto" w:fill="FFFFFF"/>
          <w:lang w:val="en-US" w:eastAsia="zh-CN"/>
        </w:rPr>
      </w:pPr>
      <w:r>
        <w:rPr>
          <w:rFonts w:hint="eastAsia" w:ascii="仿宋_GB2312" w:hAnsi="仿宋_GB2312" w:eastAsia="仿宋_GB2312" w:cs="仿宋_GB2312"/>
          <w:i w:val="0"/>
          <w:caps w:val="0"/>
          <w:color w:val="000000"/>
          <w:spacing w:val="0"/>
          <w:sz w:val="28"/>
          <w:szCs w:val="28"/>
          <w:highlight w:val="none"/>
          <w:shd w:val="clear" w:color="auto" w:fill="FFFFFF"/>
          <w:lang w:val="en-US" w:eastAsia="zh-CN"/>
        </w:rPr>
        <w:t>4.响应人的报价，应是本项目采购范围和采购文件及合同条款上所列的各项内容中所述的全部，不得以任何理由予以重复，并以响应人最终提出的综合单价或者总价为依据；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仿宋_GB2312" w:hAnsi="仿宋_GB2312" w:eastAsia="仿宋_GB2312" w:cs="仿宋_GB2312"/>
          <w:i w:val="0"/>
          <w:caps w:val="0"/>
          <w:color w:val="000000"/>
          <w:spacing w:val="0"/>
          <w:sz w:val="28"/>
          <w:szCs w:val="28"/>
          <w:highlight w:val="none"/>
          <w:shd w:val="clear" w:color="auto" w:fill="FFFFFF"/>
          <w:lang w:val="en-US" w:eastAsia="zh-CN"/>
        </w:rPr>
      </w:pPr>
      <w:r>
        <w:rPr>
          <w:rFonts w:hint="eastAsia" w:ascii="仿宋_GB2312" w:hAnsi="仿宋_GB2312" w:eastAsia="仿宋_GB2312" w:cs="仿宋_GB2312"/>
          <w:i w:val="0"/>
          <w:caps w:val="0"/>
          <w:color w:val="000000"/>
          <w:spacing w:val="0"/>
          <w:sz w:val="28"/>
          <w:szCs w:val="28"/>
          <w:highlight w:val="none"/>
          <w:shd w:val="clear" w:color="auto" w:fill="FFFFFF"/>
          <w:lang w:val="en-US" w:eastAsia="zh-CN"/>
        </w:rPr>
        <w:t>5.除非采购人通过修改采购文件予以更正，否则，响应人应毫无例外地按响应文件所列的清单中项目和数量填报综合单价和合价；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仿宋_GB2312" w:hAnsi="仿宋_GB2312" w:eastAsia="仿宋_GB2312" w:cs="仿宋_GB2312"/>
          <w:i w:val="0"/>
          <w:caps w:val="0"/>
          <w:color w:val="000000"/>
          <w:spacing w:val="0"/>
          <w:sz w:val="28"/>
          <w:szCs w:val="28"/>
          <w:highlight w:val="none"/>
          <w:shd w:val="clear" w:color="auto" w:fill="FFFFFF"/>
          <w:lang w:val="en-US" w:eastAsia="zh-CN"/>
        </w:rPr>
      </w:pPr>
      <w:r>
        <w:rPr>
          <w:rFonts w:hint="eastAsia" w:ascii="仿宋_GB2312" w:hAnsi="仿宋_GB2312" w:eastAsia="仿宋_GB2312" w:cs="仿宋_GB2312"/>
          <w:i w:val="0"/>
          <w:caps w:val="0"/>
          <w:color w:val="000000"/>
          <w:spacing w:val="0"/>
          <w:sz w:val="28"/>
          <w:szCs w:val="28"/>
          <w:highlight w:val="none"/>
          <w:shd w:val="clear" w:color="auto" w:fill="FFFFFF"/>
          <w:lang w:val="en-US" w:eastAsia="zh-CN"/>
        </w:rPr>
        <w:t>6.响应人应先到项目地点踏勘以充分了解项目的位置、情况、道路及任何其它足以影响投标报价的情况，任何因忽视或者误解项目情况而导致的索赔或者服务期限延长申请将不获批准；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仿宋_GB2312" w:hAnsi="仿宋_GB2312" w:eastAsia="仿宋_GB2312" w:cs="仿宋_GB2312"/>
          <w:b w:val="0"/>
          <w:bCs w:val="0"/>
          <w:i w:val="0"/>
          <w:caps w:val="0"/>
          <w:color w:val="000000"/>
          <w:spacing w:val="0"/>
          <w:sz w:val="28"/>
          <w:szCs w:val="28"/>
          <w:highlight w:val="none"/>
          <w:lang w:eastAsia="zh-CN"/>
        </w:rPr>
      </w:pPr>
      <w:r>
        <w:rPr>
          <w:rFonts w:hint="eastAsia" w:ascii="仿宋_GB2312" w:hAnsi="仿宋_GB2312" w:eastAsia="仿宋_GB2312" w:cs="仿宋_GB2312"/>
          <w:i w:val="0"/>
          <w:caps w:val="0"/>
          <w:color w:val="000000"/>
          <w:spacing w:val="0"/>
          <w:sz w:val="28"/>
          <w:szCs w:val="28"/>
          <w:highlight w:val="none"/>
          <w:shd w:val="clear" w:color="auto" w:fill="FFFFFF"/>
          <w:lang w:val="en-US" w:eastAsia="zh-CN"/>
        </w:rPr>
        <w:t>7.响应人不得期望通过索赔等方式获取报价补偿，否则，除可能遭到拒绝外，还可能将被作为不良行为记录在案，并可能影响其以后参加政府采购的项目投标。各响应人在报价时，应充分考虑报价的风险。</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楷体_GB2312" w:eastAsia="楷体_GB2312"/>
          <w:color w:val="auto"/>
          <w:sz w:val="28"/>
          <w:szCs w:val="28"/>
          <w:highlight w:val="none"/>
          <w:lang w:val="en-US" w:eastAsia="zh-CN"/>
        </w:rPr>
      </w:pPr>
      <w:r>
        <w:rPr>
          <w:rFonts w:hint="eastAsia" w:ascii="楷体_GB2312" w:eastAsia="楷体_GB2312"/>
          <w:color w:val="auto"/>
          <w:sz w:val="28"/>
          <w:szCs w:val="28"/>
          <w:highlight w:val="none"/>
          <w:lang w:val="en-US" w:eastAsia="zh-CN"/>
        </w:rPr>
        <w:t>（四）付款方式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_GB2312" w:hAnsi="仿宋_GB2312" w:eastAsia="仿宋_GB2312" w:cs="仿宋_GB2312"/>
          <w:i w:val="0"/>
          <w:caps w:val="0"/>
          <w:color w:val="000000"/>
          <w:spacing w:val="0"/>
          <w:sz w:val="28"/>
          <w:szCs w:val="28"/>
          <w:highlight w:val="none"/>
          <w:shd w:val="clear" w:color="auto" w:fill="FFFFFF"/>
          <w:lang w:val="en-US" w:eastAsia="zh-CN"/>
        </w:rPr>
      </w:pPr>
      <w:r>
        <w:rPr>
          <w:rFonts w:hint="eastAsia" w:ascii="仿宋_GB2312" w:hAnsi="仿宋_GB2312" w:eastAsia="仿宋_GB2312" w:cs="仿宋_GB2312"/>
          <w:i w:val="0"/>
          <w:caps w:val="0"/>
          <w:color w:val="000000"/>
          <w:spacing w:val="0"/>
          <w:sz w:val="28"/>
          <w:szCs w:val="28"/>
          <w:highlight w:val="none"/>
          <w:shd w:val="clear" w:color="auto" w:fill="FFFFFF"/>
          <w:lang w:val="en-US" w:eastAsia="zh-CN"/>
        </w:rPr>
        <w:t xml:space="preserve">1.首期款：双方签订合同后，采购人收到中标单位的付款申请及相应发票后，10个工作日内支付合同总金额70%的首期款。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_GB2312" w:hAnsi="仿宋_GB2312" w:eastAsia="仿宋_GB2312" w:cs="仿宋_GB2312"/>
          <w:i w:val="0"/>
          <w:caps w:val="0"/>
          <w:color w:val="000000"/>
          <w:spacing w:val="0"/>
          <w:sz w:val="28"/>
          <w:szCs w:val="28"/>
          <w:highlight w:val="none"/>
          <w:shd w:val="clear" w:color="auto" w:fill="FFFFFF"/>
          <w:lang w:val="en-US" w:eastAsia="zh-CN"/>
        </w:rPr>
      </w:pPr>
      <w:r>
        <w:rPr>
          <w:rFonts w:hint="eastAsia" w:ascii="仿宋_GB2312" w:hAnsi="仿宋_GB2312" w:eastAsia="仿宋_GB2312" w:cs="仿宋_GB2312"/>
          <w:i w:val="0"/>
          <w:caps w:val="0"/>
          <w:color w:val="000000"/>
          <w:spacing w:val="0"/>
          <w:sz w:val="28"/>
          <w:szCs w:val="28"/>
          <w:highlight w:val="none"/>
          <w:shd w:val="clear" w:color="auto" w:fill="FFFFFF"/>
          <w:lang w:val="en-US" w:eastAsia="zh-CN"/>
        </w:rPr>
        <w:t>2.尾款：项目通过采购人的验收后中标人按要求向采购人提交相关证明材料（以协议约定为准），采购人在收到符合要求的资料，并满足支付条件后的10个工作日内支付合同总金额30%的尾款。</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楷体_GB2312" w:eastAsia="楷体_GB2312"/>
          <w:color w:val="auto"/>
          <w:sz w:val="28"/>
          <w:szCs w:val="28"/>
          <w:highlight w:val="none"/>
          <w:lang w:val="en-US" w:eastAsia="zh-CN"/>
        </w:rPr>
      </w:pPr>
      <w:r>
        <w:rPr>
          <w:rFonts w:hint="eastAsia" w:ascii="楷体_GB2312" w:eastAsia="楷体_GB2312"/>
          <w:color w:val="auto"/>
          <w:sz w:val="28"/>
          <w:szCs w:val="28"/>
          <w:highlight w:val="none"/>
          <w:lang w:val="en-US" w:eastAsia="zh-CN"/>
        </w:rPr>
        <w:t>（五）验收方式</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560" w:firstLineChars="200"/>
        <w:jc w:val="both"/>
        <w:textAlignment w:val="auto"/>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highlight w:val="none"/>
        </w:rPr>
        <w:t>项目服务期到期后，</w:t>
      </w:r>
      <w:r>
        <w:rPr>
          <w:rFonts w:hint="eastAsia" w:ascii="仿宋_GB2312" w:eastAsia="仿宋_GB2312"/>
          <w:b w:val="0"/>
          <w:bCs/>
          <w:color w:val="auto"/>
          <w:sz w:val="28"/>
          <w:szCs w:val="28"/>
          <w:highlight w:val="none"/>
          <w:lang w:eastAsia="zh-CN"/>
        </w:rPr>
        <w:t>根据本单位采购工作制度及</w:t>
      </w:r>
      <w:r>
        <w:rPr>
          <w:rFonts w:hint="eastAsia" w:ascii="仿宋_GB2312" w:eastAsia="仿宋_GB2312"/>
          <w:b w:val="0"/>
          <w:bCs/>
          <w:color w:val="auto"/>
          <w:sz w:val="28"/>
          <w:szCs w:val="28"/>
          <w:highlight w:val="none"/>
        </w:rPr>
        <w:t>按照合同约定的服务内容对</w:t>
      </w:r>
      <w:r>
        <w:rPr>
          <w:rFonts w:hint="eastAsia" w:ascii="仿宋_GB2312" w:eastAsia="仿宋_GB2312"/>
          <w:b w:val="0"/>
          <w:bCs/>
          <w:color w:val="auto"/>
          <w:sz w:val="28"/>
          <w:szCs w:val="28"/>
          <w:highlight w:val="none"/>
          <w:lang w:eastAsia="zh-CN"/>
        </w:rPr>
        <w:t>供应商</w:t>
      </w:r>
      <w:r>
        <w:rPr>
          <w:rFonts w:hint="eastAsia" w:ascii="仿宋_GB2312" w:eastAsia="仿宋_GB2312"/>
          <w:b w:val="0"/>
          <w:bCs/>
          <w:color w:val="auto"/>
          <w:sz w:val="28"/>
          <w:szCs w:val="28"/>
          <w:highlight w:val="none"/>
        </w:rPr>
        <w:t>的服务进行逐项验收。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楷体_GB2312" w:eastAsia="楷体_GB2312"/>
          <w:color w:val="auto"/>
          <w:sz w:val="28"/>
          <w:szCs w:val="28"/>
          <w:highlight w:val="none"/>
          <w:lang w:val="en-US" w:eastAsia="zh-CN"/>
        </w:rPr>
      </w:pPr>
      <w:r>
        <w:rPr>
          <w:rFonts w:hint="eastAsia" w:ascii="楷体_GB2312" w:eastAsia="楷体_GB2312"/>
          <w:color w:val="auto"/>
          <w:sz w:val="28"/>
          <w:szCs w:val="28"/>
          <w:highlight w:val="none"/>
          <w:lang w:val="en-US" w:eastAsia="zh-CN"/>
        </w:rPr>
        <w:t>（六）违约责任</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6" w:firstLineChars="231"/>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按合同约定。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仿宋_GB2312" w:hAnsi="仿宋_GB2312" w:eastAsia="仿宋_GB2312" w:cs="仿宋_GB2312"/>
          <w:b w:val="0"/>
          <w:bCs w:val="0"/>
          <w:i w:val="0"/>
          <w:caps w:val="0"/>
          <w:color w:val="000000"/>
          <w:spacing w:val="0"/>
          <w:sz w:val="28"/>
          <w:szCs w:val="28"/>
          <w:highlight w:val="none"/>
          <w:lang w:val="en-US" w:eastAsia="zh-CN"/>
        </w:rPr>
      </w:pPr>
      <w:r>
        <w:rPr>
          <w:rFonts w:hint="eastAsia" w:ascii="楷体_GB2312" w:eastAsia="楷体_GB2312"/>
          <w:color w:val="auto"/>
          <w:sz w:val="28"/>
          <w:szCs w:val="28"/>
          <w:highlight w:val="none"/>
          <w:lang w:val="en-US" w:eastAsia="zh-CN"/>
        </w:rPr>
        <w:t>（七）其他要求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default" w:ascii="仿宋_GB2312" w:hAnsi="仿宋_GB2312" w:eastAsia="仿宋_GB2312" w:cs="仿宋_GB2312"/>
          <w:b w:val="0"/>
          <w:bCs w:val="0"/>
          <w:i w:val="0"/>
          <w:caps w:val="0"/>
          <w:color w:val="000000"/>
          <w:spacing w:val="0"/>
          <w:sz w:val="28"/>
          <w:szCs w:val="28"/>
          <w:highlight w:val="none"/>
          <w:lang w:val="en-US" w:eastAsia="zh-CN"/>
        </w:rPr>
      </w:pPr>
      <w:r>
        <w:rPr>
          <w:rFonts w:hint="default" w:ascii="仿宋_GB2312" w:hAnsi="仿宋_GB2312" w:eastAsia="仿宋_GB2312" w:cs="仿宋_GB2312"/>
          <w:b w:val="0"/>
          <w:bCs w:val="0"/>
          <w:i w:val="0"/>
          <w:caps w:val="0"/>
          <w:color w:val="000000"/>
          <w:spacing w:val="0"/>
          <w:sz w:val="28"/>
          <w:szCs w:val="28"/>
          <w:highlight w:val="none"/>
          <w:lang w:val="en-US" w:eastAsia="zh-CN"/>
        </w:rPr>
        <w:t>1.提供营业执照、社会团体法人登记证书等扫描件</w:t>
      </w:r>
      <w:r>
        <w:rPr>
          <w:rFonts w:hint="eastAsia" w:ascii="仿宋_GB2312" w:hAnsi="仿宋_GB2312" w:eastAsia="仿宋_GB2312" w:cs="仿宋_GB2312"/>
          <w:b w:val="0"/>
          <w:bCs w:val="0"/>
          <w:i w:val="0"/>
          <w:caps w:val="0"/>
          <w:color w:val="000000"/>
          <w:spacing w:val="0"/>
          <w:sz w:val="28"/>
          <w:szCs w:val="28"/>
          <w:highlight w:val="none"/>
          <w:lang w:val="en-US"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default" w:ascii="仿宋_GB2312" w:hAnsi="仿宋_GB2312" w:eastAsia="仿宋_GB2312" w:cs="仿宋_GB2312"/>
          <w:b w:val="0"/>
          <w:bCs w:val="0"/>
          <w:i w:val="0"/>
          <w:caps w:val="0"/>
          <w:color w:val="000000"/>
          <w:spacing w:val="0"/>
          <w:sz w:val="28"/>
          <w:szCs w:val="28"/>
          <w:highlight w:val="none"/>
          <w:lang w:val="en-US" w:eastAsia="zh-CN"/>
        </w:rPr>
      </w:pPr>
      <w:r>
        <w:rPr>
          <w:rFonts w:hint="default" w:ascii="仿宋_GB2312" w:hAnsi="仿宋_GB2312" w:eastAsia="仿宋_GB2312" w:cs="仿宋_GB2312"/>
          <w:b w:val="0"/>
          <w:bCs w:val="0"/>
          <w:i w:val="0"/>
          <w:caps w:val="0"/>
          <w:color w:val="000000"/>
          <w:spacing w:val="0"/>
          <w:sz w:val="28"/>
          <w:szCs w:val="28"/>
          <w:highlight w:val="none"/>
          <w:lang w:val="en-US" w:eastAsia="zh-CN"/>
        </w:rPr>
        <w:t>2.提供法定代表人、主要经营负责人、项目投标授权代表人、项目负责人、主要技术人员三个月内社保证明</w:t>
      </w:r>
      <w:r>
        <w:rPr>
          <w:rFonts w:hint="eastAsia" w:ascii="仿宋_GB2312" w:hAnsi="仿宋_GB2312" w:eastAsia="仿宋_GB2312" w:cs="仿宋_GB2312"/>
          <w:b w:val="0"/>
          <w:bCs w:val="0"/>
          <w:i w:val="0"/>
          <w:caps w:val="0"/>
          <w:color w:val="000000"/>
          <w:spacing w:val="0"/>
          <w:sz w:val="28"/>
          <w:szCs w:val="28"/>
          <w:highlight w:val="none"/>
          <w:lang w:val="en-US" w:eastAsia="zh-CN"/>
        </w:rPr>
        <w:t>，</w:t>
      </w:r>
      <w:r>
        <w:rPr>
          <w:rFonts w:hint="default" w:ascii="仿宋_GB2312" w:hAnsi="仿宋_GB2312" w:eastAsia="仿宋_GB2312" w:cs="仿宋_GB2312"/>
          <w:b w:val="0"/>
          <w:bCs w:val="0"/>
          <w:i w:val="0"/>
          <w:caps w:val="0"/>
          <w:color w:val="000000"/>
          <w:spacing w:val="0"/>
          <w:sz w:val="28"/>
          <w:szCs w:val="28"/>
          <w:highlight w:val="none"/>
          <w:lang w:val="en-US" w:eastAsia="zh-CN"/>
        </w:rPr>
        <w:t>且其社保为投标公司购买。如有特殊情况</w:t>
      </w:r>
      <w:r>
        <w:rPr>
          <w:rFonts w:hint="eastAsia" w:ascii="仿宋_GB2312" w:hAnsi="仿宋_GB2312" w:eastAsia="仿宋_GB2312" w:cs="仿宋_GB2312"/>
          <w:b w:val="0"/>
          <w:bCs w:val="0"/>
          <w:i w:val="0"/>
          <w:caps w:val="0"/>
          <w:color w:val="000000"/>
          <w:spacing w:val="0"/>
          <w:sz w:val="28"/>
          <w:szCs w:val="28"/>
          <w:highlight w:val="none"/>
          <w:lang w:val="en-US" w:eastAsia="zh-CN"/>
        </w:rPr>
        <w:t>，</w:t>
      </w:r>
      <w:r>
        <w:rPr>
          <w:rFonts w:hint="default" w:ascii="仿宋_GB2312" w:hAnsi="仿宋_GB2312" w:eastAsia="仿宋_GB2312" w:cs="仿宋_GB2312"/>
          <w:b w:val="0"/>
          <w:bCs w:val="0"/>
          <w:i w:val="0"/>
          <w:caps w:val="0"/>
          <w:color w:val="000000"/>
          <w:spacing w:val="0"/>
          <w:sz w:val="28"/>
          <w:szCs w:val="28"/>
          <w:highlight w:val="none"/>
          <w:lang w:val="en-US" w:eastAsia="zh-CN"/>
        </w:rPr>
        <w:t>法定代表人名下有多家公司或母公司购买社保但子公司投标的情况</w:t>
      </w:r>
      <w:r>
        <w:rPr>
          <w:rFonts w:hint="eastAsia" w:ascii="仿宋_GB2312" w:hAnsi="仿宋_GB2312" w:eastAsia="仿宋_GB2312" w:cs="仿宋_GB2312"/>
          <w:b w:val="0"/>
          <w:bCs w:val="0"/>
          <w:i w:val="0"/>
          <w:caps w:val="0"/>
          <w:color w:val="000000"/>
          <w:spacing w:val="0"/>
          <w:sz w:val="28"/>
          <w:szCs w:val="28"/>
          <w:highlight w:val="none"/>
          <w:lang w:val="en-US" w:eastAsia="zh-CN"/>
        </w:rPr>
        <w:t>，</w:t>
      </w:r>
      <w:r>
        <w:rPr>
          <w:rFonts w:hint="default" w:ascii="仿宋_GB2312" w:hAnsi="仿宋_GB2312" w:eastAsia="仿宋_GB2312" w:cs="仿宋_GB2312"/>
          <w:b w:val="0"/>
          <w:bCs w:val="0"/>
          <w:i w:val="0"/>
          <w:caps w:val="0"/>
          <w:color w:val="000000"/>
          <w:spacing w:val="0"/>
          <w:sz w:val="28"/>
          <w:szCs w:val="28"/>
          <w:highlight w:val="none"/>
          <w:lang w:val="en-US" w:eastAsia="zh-CN"/>
        </w:rPr>
        <w:t>可另外出具书面证明</w:t>
      </w:r>
      <w:r>
        <w:rPr>
          <w:rFonts w:hint="eastAsia" w:ascii="仿宋_GB2312" w:hAnsi="仿宋_GB2312" w:eastAsia="仿宋_GB2312" w:cs="仿宋_GB2312"/>
          <w:b w:val="0"/>
          <w:bCs w:val="0"/>
          <w:i w:val="0"/>
          <w:caps w:val="0"/>
          <w:color w:val="000000"/>
          <w:spacing w:val="0"/>
          <w:sz w:val="28"/>
          <w:szCs w:val="28"/>
          <w:highlight w:val="none"/>
          <w:lang w:val="en-US"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default" w:ascii="仿宋_GB2312" w:hAnsi="仿宋_GB2312" w:eastAsia="仿宋_GB2312" w:cs="仿宋_GB2312"/>
          <w:b w:val="0"/>
          <w:bCs w:val="0"/>
          <w:i w:val="0"/>
          <w:caps w:val="0"/>
          <w:color w:val="000000"/>
          <w:spacing w:val="0"/>
          <w:sz w:val="28"/>
          <w:szCs w:val="28"/>
          <w:highlight w:val="none"/>
          <w:lang w:val="en-US" w:eastAsia="zh-CN"/>
        </w:rPr>
      </w:pPr>
      <w:r>
        <w:rPr>
          <w:rFonts w:hint="default" w:ascii="仿宋_GB2312" w:hAnsi="仿宋_GB2312" w:eastAsia="仿宋_GB2312" w:cs="仿宋_GB2312"/>
          <w:b w:val="0"/>
          <w:bCs w:val="0"/>
          <w:i w:val="0"/>
          <w:caps w:val="0"/>
          <w:color w:val="000000"/>
          <w:spacing w:val="0"/>
          <w:sz w:val="28"/>
          <w:szCs w:val="28"/>
          <w:highlight w:val="none"/>
          <w:lang w:val="en-US" w:eastAsia="zh-CN"/>
        </w:rPr>
        <w:t>3.提供能独立完成本次项目资质证明材料（包括但不限于资质荣誉、合作过的合同及项目现场能体现承办单位的照片）</w:t>
      </w:r>
      <w:r>
        <w:rPr>
          <w:rFonts w:hint="eastAsia" w:ascii="仿宋_GB2312" w:hAnsi="仿宋_GB2312" w:eastAsia="仿宋_GB2312" w:cs="仿宋_GB2312"/>
          <w:b w:val="0"/>
          <w:bCs w:val="0"/>
          <w:i w:val="0"/>
          <w:caps w:val="0"/>
          <w:color w:val="000000"/>
          <w:spacing w:val="0"/>
          <w:sz w:val="28"/>
          <w:szCs w:val="28"/>
          <w:highlight w:val="none"/>
          <w:lang w:val="en-US"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left"/>
        <w:textAlignment w:val="auto"/>
        <w:rPr>
          <w:rFonts w:hint="default" w:ascii="仿宋_GB2312" w:hAnsi="仿宋_GB2312" w:eastAsia="仿宋_GB2312" w:cs="仿宋_GB2312"/>
          <w:b w:val="0"/>
          <w:bCs w:val="0"/>
          <w:i w:val="0"/>
          <w:caps w:val="0"/>
          <w:color w:val="000000"/>
          <w:spacing w:val="0"/>
          <w:sz w:val="28"/>
          <w:szCs w:val="28"/>
          <w:highlight w:val="none"/>
          <w:lang w:val="en-US" w:eastAsia="zh-CN"/>
        </w:rPr>
      </w:pPr>
      <w:r>
        <w:rPr>
          <w:rFonts w:hint="eastAsia" w:ascii="仿宋_GB2312" w:hAnsi="仿宋_GB2312" w:eastAsia="仿宋_GB2312" w:cs="仿宋_GB2312"/>
          <w:b w:val="0"/>
          <w:bCs w:val="0"/>
          <w:i w:val="0"/>
          <w:caps w:val="0"/>
          <w:color w:val="000000"/>
          <w:spacing w:val="0"/>
          <w:sz w:val="28"/>
          <w:szCs w:val="28"/>
          <w:highlight w:val="none"/>
          <w:lang w:val="en-US" w:eastAsia="zh-CN"/>
        </w:rPr>
        <w:t>4.</w:t>
      </w:r>
      <w:r>
        <w:rPr>
          <w:rFonts w:hint="default" w:ascii="仿宋_GB2312" w:hAnsi="仿宋_GB2312" w:eastAsia="仿宋_GB2312" w:cs="仿宋_GB2312"/>
          <w:b w:val="0"/>
          <w:bCs w:val="0"/>
          <w:i w:val="0"/>
          <w:caps w:val="0"/>
          <w:color w:val="000000"/>
          <w:spacing w:val="0"/>
          <w:sz w:val="28"/>
          <w:szCs w:val="28"/>
          <w:highlight w:val="none"/>
          <w:lang w:val="en-US" w:eastAsia="zh-CN"/>
        </w:rPr>
        <w:t>提供项目方案及项目执行安排、报价单，以上资料请加盖公章后扫描。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left"/>
        <w:textAlignment w:val="auto"/>
        <w:rPr>
          <w:rFonts w:hint="default" w:ascii="仿宋_GB2312" w:hAnsi="仿宋_GB2312" w:eastAsia="仿宋_GB2312" w:cs="仿宋_GB2312"/>
          <w:b w:val="0"/>
          <w:bCs w:val="0"/>
          <w:i w:val="0"/>
          <w:caps w:val="0"/>
          <w:color w:val="000000"/>
          <w:spacing w:val="0"/>
          <w:sz w:val="28"/>
          <w:szCs w:val="28"/>
          <w:highlight w:val="none"/>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left"/>
        <w:textAlignment w:val="auto"/>
        <w:rPr>
          <w:rFonts w:hint="eastAsia" w:ascii="仿宋_GB2312" w:hAnsi="仿宋_GB2312" w:eastAsia="仿宋_GB2312" w:cs="仿宋_GB2312"/>
          <w:b w:val="0"/>
          <w:bCs w:val="0"/>
          <w:i w:val="0"/>
          <w:caps w:val="0"/>
          <w:color w:val="000000"/>
          <w:spacing w:val="0"/>
          <w:sz w:val="28"/>
          <w:szCs w:val="28"/>
          <w:highlight w:val="none"/>
          <w:lang w:val="en-US" w:eastAsia="zh-CN"/>
        </w:rPr>
      </w:pPr>
    </w:p>
    <w:p>
      <w:pPr>
        <w:pStyle w:val="7"/>
        <w:keepNext w:val="0"/>
        <w:keepLines w:val="0"/>
        <w:pageBreakBefore w:val="0"/>
        <w:widowControl/>
        <w:suppressLineNumbers w:val="0"/>
        <w:tabs>
          <w:tab w:val="left" w:pos="6930"/>
        </w:tabs>
        <w:kinsoku/>
        <w:wordWrap/>
        <w:overflowPunct/>
        <w:topLinePunct w:val="0"/>
        <w:autoSpaceDE/>
        <w:autoSpaceDN/>
        <w:bidi w:val="0"/>
        <w:adjustRightInd/>
        <w:snapToGrid/>
        <w:spacing w:before="0" w:beforeAutospacing="0" w:after="0" w:afterAutospacing="0" w:line="520" w:lineRule="exact"/>
        <w:ind w:right="0" w:firstLine="0" w:firstLineChars="0"/>
        <w:jc w:val="both"/>
        <w:textAlignment w:val="auto"/>
        <w:rPr>
          <w:rFonts w:hint="eastAsia" w:ascii="仿宋_GB2312" w:hAnsi="仿宋_GB2312" w:eastAsia="仿宋_GB2312" w:cs="仿宋_GB2312"/>
          <w:b w:val="0"/>
          <w:bCs w:val="0"/>
          <w:i w:val="0"/>
          <w:caps w:val="0"/>
          <w:color w:val="000000"/>
          <w:spacing w:val="0"/>
          <w:sz w:val="28"/>
          <w:szCs w:val="28"/>
          <w:highlight w:val="none"/>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0" w:firstLineChars="0"/>
        <w:jc w:val="right"/>
        <w:textAlignment w:val="auto"/>
        <w:rPr>
          <w:rFonts w:hint="eastAsia" w:ascii="仿宋_GB2312" w:hAnsi="仿宋_GB2312" w:eastAsia="仿宋_GB2312" w:cs="仿宋_GB2312"/>
          <w:b w:val="0"/>
          <w:bCs w:val="0"/>
          <w:i w:val="0"/>
          <w:caps w:val="0"/>
          <w:color w:val="000000"/>
          <w:spacing w:val="0"/>
          <w:sz w:val="28"/>
          <w:szCs w:val="28"/>
          <w:highlight w:val="none"/>
          <w:lang w:eastAsia="zh-CN"/>
        </w:rPr>
      </w:pPr>
      <w:r>
        <w:rPr>
          <w:rFonts w:hint="eastAsia" w:ascii="仿宋_GB2312" w:hAnsi="仿宋_GB2312" w:eastAsia="仿宋_GB2312" w:cs="仿宋_GB2312"/>
          <w:b w:val="0"/>
          <w:bCs w:val="0"/>
          <w:i w:val="0"/>
          <w:caps w:val="0"/>
          <w:color w:val="000000"/>
          <w:spacing w:val="0"/>
          <w:sz w:val="28"/>
          <w:szCs w:val="28"/>
          <w:highlight w:val="none"/>
        </w:rPr>
        <w:t>福田区人力资源</w:t>
      </w:r>
      <w:r>
        <w:rPr>
          <w:rFonts w:hint="eastAsia" w:ascii="仿宋_GB2312" w:hAnsi="仿宋_GB2312" w:eastAsia="仿宋_GB2312" w:cs="仿宋_GB2312"/>
          <w:b w:val="0"/>
          <w:bCs w:val="0"/>
          <w:i w:val="0"/>
          <w:caps w:val="0"/>
          <w:color w:val="000000"/>
          <w:spacing w:val="0"/>
          <w:sz w:val="28"/>
          <w:szCs w:val="28"/>
          <w:highlight w:val="none"/>
          <w:lang w:eastAsia="zh-CN"/>
        </w:rPr>
        <w:t>局</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right"/>
        <w:textAlignment w:val="auto"/>
        <w:rPr>
          <w:sz w:val="28"/>
          <w:szCs w:val="28"/>
          <w:highlight w:val="none"/>
        </w:rPr>
      </w:pPr>
      <w:r>
        <w:rPr>
          <w:rFonts w:hint="eastAsia" w:ascii="仿宋_GB2312" w:hAnsi="仿宋_GB2312" w:eastAsia="仿宋_GB2312" w:cs="仿宋_GB2312"/>
          <w:b w:val="0"/>
          <w:bCs w:val="0"/>
          <w:i w:val="0"/>
          <w:caps w:val="0"/>
          <w:color w:val="000000"/>
          <w:spacing w:val="0"/>
          <w:sz w:val="28"/>
          <w:szCs w:val="28"/>
          <w:highlight w:val="none"/>
          <w:lang w:val="en-US" w:eastAsia="zh-CN"/>
        </w:rPr>
        <w:t xml:space="preserve">                            2025年9月5日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35CC"/>
    <w:rsid w:val="00BFD6BF"/>
    <w:rsid w:val="00DE29F2"/>
    <w:rsid w:val="015928B6"/>
    <w:rsid w:val="01850CBC"/>
    <w:rsid w:val="0225600D"/>
    <w:rsid w:val="02E0586A"/>
    <w:rsid w:val="03316615"/>
    <w:rsid w:val="040E6F04"/>
    <w:rsid w:val="045B4ACE"/>
    <w:rsid w:val="049F687A"/>
    <w:rsid w:val="04A1798B"/>
    <w:rsid w:val="04CB3E55"/>
    <w:rsid w:val="04E20AB8"/>
    <w:rsid w:val="0677053B"/>
    <w:rsid w:val="07393E15"/>
    <w:rsid w:val="07776CCA"/>
    <w:rsid w:val="07EF0823"/>
    <w:rsid w:val="08625B52"/>
    <w:rsid w:val="08710304"/>
    <w:rsid w:val="0923679C"/>
    <w:rsid w:val="097656D1"/>
    <w:rsid w:val="0A8B3EAB"/>
    <w:rsid w:val="0A994110"/>
    <w:rsid w:val="0BD104DC"/>
    <w:rsid w:val="0C0976C1"/>
    <w:rsid w:val="0C5047EE"/>
    <w:rsid w:val="0C772F7F"/>
    <w:rsid w:val="0C9C20F3"/>
    <w:rsid w:val="0CD64DF4"/>
    <w:rsid w:val="0F1D6030"/>
    <w:rsid w:val="0F6A7B1B"/>
    <w:rsid w:val="0FA90579"/>
    <w:rsid w:val="0FB833D0"/>
    <w:rsid w:val="10F42CA0"/>
    <w:rsid w:val="11746C5A"/>
    <w:rsid w:val="11D36D5A"/>
    <w:rsid w:val="12116A59"/>
    <w:rsid w:val="132E0129"/>
    <w:rsid w:val="13A01AB6"/>
    <w:rsid w:val="13BD01B1"/>
    <w:rsid w:val="13DC40EB"/>
    <w:rsid w:val="13DE58AF"/>
    <w:rsid w:val="14224F13"/>
    <w:rsid w:val="14390FC1"/>
    <w:rsid w:val="14E91FD2"/>
    <w:rsid w:val="153D069E"/>
    <w:rsid w:val="17E9301A"/>
    <w:rsid w:val="199C047C"/>
    <w:rsid w:val="1A203115"/>
    <w:rsid w:val="1ADD5DD7"/>
    <w:rsid w:val="1C8000BC"/>
    <w:rsid w:val="1E57684E"/>
    <w:rsid w:val="1E997593"/>
    <w:rsid w:val="1EF9A188"/>
    <w:rsid w:val="20012743"/>
    <w:rsid w:val="20203D53"/>
    <w:rsid w:val="20697A3C"/>
    <w:rsid w:val="21637953"/>
    <w:rsid w:val="22A56445"/>
    <w:rsid w:val="24B23891"/>
    <w:rsid w:val="25661450"/>
    <w:rsid w:val="25A05AF1"/>
    <w:rsid w:val="25B90C7C"/>
    <w:rsid w:val="27C311E5"/>
    <w:rsid w:val="27D968A6"/>
    <w:rsid w:val="29146704"/>
    <w:rsid w:val="29627D0B"/>
    <w:rsid w:val="29A455CA"/>
    <w:rsid w:val="29A63F05"/>
    <w:rsid w:val="29C07716"/>
    <w:rsid w:val="2A5E7CDA"/>
    <w:rsid w:val="2A6C67B2"/>
    <w:rsid w:val="2B0F454F"/>
    <w:rsid w:val="2DEA176B"/>
    <w:rsid w:val="2E171336"/>
    <w:rsid w:val="2EC17010"/>
    <w:rsid w:val="2EC7666F"/>
    <w:rsid w:val="2F2048B1"/>
    <w:rsid w:val="2F4C700D"/>
    <w:rsid w:val="2F7F9A4A"/>
    <w:rsid w:val="307D2EBD"/>
    <w:rsid w:val="31321F62"/>
    <w:rsid w:val="31C94E76"/>
    <w:rsid w:val="338F34F8"/>
    <w:rsid w:val="33D13151"/>
    <w:rsid w:val="33DC3393"/>
    <w:rsid w:val="343000F8"/>
    <w:rsid w:val="3471583A"/>
    <w:rsid w:val="34E207CA"/>
    <w:rsid w:val="34F915CB"/>
    <w:rsid w:val="35840B34"/>
    <w:rsid w:val="35FC6BC2"/>
    <w:rsid w:val="36D43DFF"/>
    <w:rsid w:val="37B04CCA"/>
    <w:rsid w:val="37E072FC"/>
    <w:rsid w:val="38213D5E"/>
    <w:rsid w:val="3857134C"/>
    <w:rsid w:val="396547E9"/>
    <w:rsid w:val="397E1DD7"/>
    <w:rsid w:val="39B36B20"/>
    <w:rsid w:val="39E574BC"/>
    <w:rsid w:val="3BD861B4"/>
    <w:rsid w:val="3C0440CF"/>
    <w:rsid w:val="3C1670B1"/>
    <w:rsid w:val="3CD40544"/>
    <w:rsid w:val="3CF74A34"/>
    <w:rsid w:val="3D7B53FF"/>
    <w:rsid w:val="3EBC8ABD"/>
    <w:rsid w:val="3F4FD824"/>
    <w:rsid w:val="3F9A137A"/>
    <w:rsid w:val="3FB90CDB"/>
    <w:rsid w:val="3FED4782"/>
    <w:rsid w:val="3FFF4814"/>
    <w:rsid w:val="40475A23"/>
    <w:rsid w:val="405C51FA"/>
    <w:rsid w:val="41717486"/>
    <w:rsid w:val="42623DB4"/>
    <w:rsid w:val="43750D92"/>
    <w:rsid w:val="43CD69B0"/>
    <w:rsid w:val="46B24D37"/>
    <w:rsid w:val="47106FE8"/>
    <w:rsid w:val="471655A4"/>
    <w:rsid w:val="4751227F"/>
    <w:rsid w:val="47D44DF4"/>
    <w:rsid w:val="48A62E03"/>
    <w:rsid w:val="48DF7CFE"/>
    <w:rsid w:val="48F6CEDD"/>
    <w:rsid w:val="48FB2803"/>
    <w:rsid w:val="4A8703AE"/>
    <w:rsid w:val="4B8135C3"/>
    <w:rsid w:val="4BCC21DE"/>
    <w:rsid w:val="4CFC628E"/>
    <w:rsid w:val="4D03026D"/>
    <w:rsid w:val="4D3A612D"/>
    <w:rsid w:val="4DE23FF1"/>
    <w:rsid w:val="4E59599C"/>
    <w:rsid w:val="4FF00A53"/>
    <w:rsid w:val="50250DB6"/>
    <w:rsid w:val="5041306C"/>
    <w:rsid w:val="50416D07"/>
    <w:rsid w:val="50514794"/>
    <w:rsid w:val="507C0F59"/>
    <w:rsid w:val="511A6B75"/>
    <w:rsid w:val="514D0801"/>
    <w:rsid w:val="51764762"/>
    <w:rsid w:val="54B902E3"/>
    <w:rsid w:val="559FB248"/>
    <w:rsid w:val="55C44E12"/>
    <w:rsid w:val="55C667DB"/>
    <w:rsid w:val="55E15C2F"/>
    <w:rsid w:val="56822056"/>
    <w:rsid w:val="56CE091E"/>
    <w:rsid w:val="576A3917"/>
    <w:rsid w:val="57B90F22"/>
    <w:rsid w:val="57EF66CF"/>
    <w:rsid w:val="589679B0"/>
    <w:rsid w:val="59045DAE"/>
    <w:rsid w:val="59100DE8"/>
    <w:rsid w:val="59793801"/>
    <w:rsid w:val="598469DF"/>
    <w:rsid w:val="5A0F5412"/>
    <w:rsid w:val="5A394EF2"/>
    <w:rsid w:val="5ABEDA38"/>
    <w:rsid w:val="5AC911BF"/>
    <w:rsid w:val="5BCF179C"/>
    <w:rsid w:val="5BDD6B59"/>
    <w:rsid w:val="5C213BE9"/>
    <w:rsid w:val="5CEA1DD2"/>
    <w:rsid w:val="5D7D0258"/>
    <w:rsid w:val="5EE445D9"/>
    <w:rsid w:val="5F1736F2"/>
    <w:rsid w:val="5F8A60C4"/>
    <w:rsid w:val="5FB330EC"/>
    <w:rsid w:val="5FFAE88B"/>
    <w:rsid w:val="627812D4"/>
    <w:rsid w:val="62E82153"/>
    <w:rsid w:val="63AE58FD"/>
    <w:rsid w:val="63D273A8"/>
    <w:rsid w:val="645F178D"/>
    <w:rsid w:val="64DA4A37"/>
    <w:rsid w:val="656066B3"/>
    <w:rsid w:val="657E647B"/>
    <w:rsid w:val="65C85E36"/>
    <w:rsid w:val="66235870"/>
    <w:rsid w:val="66273837"/>
    <w:rsid w:val="66482425"/>
    <w:rsid w:val="6885645B"/>
    <w:rsid w:val="68904EA7"/>
    <w:rsid w:val="691D3870"/>
    <w:rsid w:val="696628CE"/>
    <w:rsid w:val="69B77A00"/>
    <w:rsid w:val="6A4D4ADA"/>
    <w:rsid w:val="6A851C67"/>
    <w:rsid w:val="6AF80DF1"/>
    <w:rsid w:val="6B155885"/>
    <w:rsid w:val="6B494292"/>
    <w:rsid w:val="6B864430"/>
    <w:rsid w:val="6C5437B3"/>
    <w:rsid w:val="6CFBA927"/>
    <w:rsid w:val="6DF1224F"/>
    <w:rsid w:val="6EAE7261"/>
    <w:rsid w:val="6F6F04DB"/>
    <w:rsid w:val="6F763B92"/>
    <w:rsid w:val="6FFFD358"/>
    <w:rsid w:val="7111712C"/>
    <w:rsid w:val="7260229C"/>
    <w:rsid w:val="729205B9"/>
    <w:rsid w:val="72FF63A9"/>
    <w:rsid w:val="73EE78D6"/>
    <w:rsid w:val="741C1DD4"/>
    <w:rsid w:val="742F5467"/>
    <w:rsid w:val="755AF603"/>
    <w:rsid w:val="75AC2A8F"/>
    <w:rsid w:val="75CB6A10"/>
    <w:rsid w:val="761966CD"/>
    <w:rsid w:val="762E0023"/>
    <w:rsid w:val="7640292A"/>
    <w:rsid w:val="76943E2F"/>
    <w:rsid w:val="76CF3EC0"/>
    <w:rsid w:val="76FB034E"/>
    <w:rsid w:val="76FB2B4F"/>
    <w:rsid w:val="77336FA3"/>
    <w:rsid w:val="7779597B"/>
    <w:rsid w:val="777E04C5"/>
    <w:rsid w:val="77BB8473"/>
    <w:rsid w:val="77CF5B54"/>
    <w:rsid w:val="77DD5067"/>
    <w:rsid w:val="77EFCDB4"/>
    <w:rsid w:val="7853BA4D"/>
    <w:rsid w:val="78551E5B"/>
    <w:rsid w:val="787D6F96"/>
    <w:rsid w:val="7895130D"/>
    <w:rsid w:val="78AA642F"/>
    <w:rsid w:val="790B4D70"/>
    <w:rsid w:val="792B4D76"/>
    <w:rsid w:val="798640F8"/>
    <w:rsid w:val="7AFC248A"/>
    <w:rsid w:val="7BB7FA7D"/>
    <w:rsid w:val="7BBE73C8"/>
    <w:rsid w:val="7BEE657F"/>
    <w:rsid w:val="7CAE86C2"/>
    <w:rsid w:val="7CF64D77"/>
    <w:rsid w:val="7CFD6B88"/>
    <w:rsid w:val="7D3172B9"/>
    <w:rsid w:val="7D7F72A7"/>
    <w:rsid w:val="7D817DB9"/>
    <w:rsid w:val="7DFA4B07"/>
    <w:rsid w:val="7E064C5A"/>
    <w:rsid w:val="7E10795E"/>
    <w:rsid w:val="7E825E0A"/>
    <w:rsid w:val="7EF3FCEE"/>
    <w:rsid w:val="7F39B59F"/>
    <w:rsid w:val="7F53BE86"/>
    <w:rsid w:val="7FDDE120"/>
    <w:rsid w:val="7FDFE29C"/>
    <w:rsid w:val="884D1D8A"/>
    <w:rsid w:val="8B7FFB83"/>
    <w:rsid w:val="93F70B37"/>
    <w:rsid w:val="BAEE09E4"/>
    <w:rsid w:val="BEFFF0A6"/>
    <w:rsid w:val="BF7F1E2E"/>
    <w:rsid w:val="BFF42E27"/>
    <w:rsid w:val="BFFF65D6"/>
    <w:rsid w:val="CAA75668"/>
    <w:rsid w:val="CCBF2654"/>
    <w:rsid w:val="D1DB252C"/>
    <w:rsid w:val="DBFF52D6"/>
    <w:rsid w:val="DEFBD73D"/>
    <w:rsid w:val="DFB7FE48"/>
    <w:rsid w:val="DFFA34BF"/>
    <w:rsid w:val="DFFB4438"/>
    <w:rsid w:val="E3FE509B"/>
    <w:rsid w:val="EDE971F9"/>
    <w:rsid w:val="EE9ED198"/>
    <w:rsid w:val="EEBB63EC"/>
    <w:rsid w:val="EEFF83DD"/>
    <w:rsid w:val="EFED36E3"/>
    <w:rsid w:val="EFFF4C1F"/>
    <w:rsid w:val="F2EC835C"/>
    <w:rsid w:val="F4EE4E47"/>
    <w:rsid w:val="F5B7FB1D"/>
    <w:rsid w:val="F6FE81FB"/>
    <w:rsid w:val="F77A78F1"/>
    <w:rsid w:val="F7F3068C"/>
    <w:rsid w:val="F9CF1BA5"/>
    <w:rsid w:val="F9F9C049"/>
    <w:rsid w:val="FAF7C9AF"/>
    <w:rsid w:val="FBE17479"/>
    <w:rsid w:val="FDFF9E4C"/>
    <w:rsid w:val="FE2F9674"/>
    <w:rsid w:val="FED77716"/>
    <w:rsid w:val="FEFDE1CF"/>
    <w:rsid w:val="FFAB3661"/>
    <w:rsid w:val="FFAF74D8"/>
    <w:rsid w:val="FFD521B9"/>
    <w:rsid w:val="FFDB1050"/>
    <w:rsid w:val="FFDD241B"/>
    <w:rsid w:val="FFE68C85"/>
    <w:rsid w:val="FFFF0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4">
    <w:name w:val="Normal Indent"/>
    <w:basedOn w:val="1"/>
    <w:qFormat/>
    <w:uiPriority w:val="0"/>
    <w:pPr>
      <w:ind w:firstLine="420" w:firstLineChars="200"/>
    </w:pPr>
    <w:rPr>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2022-04-19T11:08:00Z</dcterms:created>
  <dc:creator>庄雪梅</dc:creator>
  <cp:lastModifiedBy>huawei</cp:lastModifiedBy>
  <dcterms:modified xsi:type="dcterms:W3CDTF">2025-09-05T17:10:19Z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E97C962A4A42D63FF93043667EB8176E</vt:lpwstr>
  </property>
</Properties>
</file>