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7497"/>
        </w:tabs>
        <w:spacing w:beforeAutospacing="1" w:after="100" w:afterLines="50" w:afterAutospacing="1" w:line="600" w:lineRule="exact"/>
        <w:jc w:val="both"/>
        <w:rPr>
          <w:rFonts w:hint="default"/>
          <w:sz w:val="28"/>
          <w:szCs w:val="28"/>
          <w:lang w:val="en-US" w:eastAsia="zh-CN"/>
        </w:rPr>
      </w:pPr>
      <w:r>
        <w:rPr>
          <w:rFonts w:hint="eastAsia" w:ascii="方正小标宋_GBK" w:hAnsi="方正小标宋_GBK" w:eastAsia="方正小标宋_GBK" w:cs="方正小标宋_GBK"/>
          <w:bCs/>
          <w:kern w:val="0"/>
          <w:sz w:val="28"/>
          <w:szCs w:val="28"/>
          <w:lang w:val="en-US" w:eastAsia="zh-CN" w:bidi="ar-SA"/>
        </w:rPr>
        <w:t>附件4</w:t>
      </w:r>
    </w:p>
    <w:p>
      <w:pPr>
        <w:spacing w:line="440" w:lineRule="exact"/>
        <w:jc w:val="center"/>
        <w:rPr>
          <w:rFonts w:hint="eastAsia" w:ascii="方正小标宋_GBK" w:hAnsi="方正小标宋_GBK" w:eastAsia="方正小标宋_GBK" w:cs="方正小标宋_GBK"/>
          <w:bCs/>
          <w:kern w:val="0"/>
          <w:sz w:val="44"/>
          <w:szCs w:val="44"/>
          <w:lang w:val="en-US" w:eastAsia="zh-CN" w:bidi="ar-SA"/>
        </w:rPr>
      </w:pPr>
      <w:r>
        <w:rPr>
          <w:rFonts w:hint="eastAsia" w:ascii="方正小标宋_GBK" w:hAnsi="方正小标宋_GBK" w:eastAsia="方正小标宋_GBK" w:cs="方正小标宋_GBK"/>
          <w:bCs/>
          <w:kern w:val="0"/>
          <w:sz w:val="44"/>
          <w:szCs w:val="44"/>
          <w:lang w:val="en-US" w:eastAsia="zh-CN" w:bidi="ar-SA"/>
        </w:rPr>
        <w:t>项目评标信息</w:t>
      </w:r>
    </w:p>
    <w:p>
      <w:pPr>
        <w:spacing w:line="440" w:lineRule="exact"/>
        <w:ind w:firstLine="880" w:firstLineChars="200"/>
        <w:rPr>
          <w:rFonts w:hint="eastAsia" w:ascii="方正小标宋_GBK" w:hAnsi="方正小标宋_GBK" w:eastAsia="方正小标宋_GBK" w:cs="方正小标宋_GBK"/>
          <w:bCs/>
          <w:kern w:val="0"/>
          <w:sz w:val="44"/>
          <w:szCs w:val="44"/>
          <w:lang w:val="en-US" w:eastAsia="zh-CN" w:bidi="ar-SA"/>
        </w:rPr>
      </w:pPr>
    </w:p>
    <w:p>
      <w:pPr>
        <w:spacing w:line="440" w:lineRule="exact"/>
        <w:ind w:firstLine="560" w:firstLineChars="200"/>
        <w:rPr>
          <w:rFonts w:hint="eastAsia" w:ascii="仿宋_GB2312" w:hAnsi="仿宋_GB2312" w:eastAsia="仿宋_GB2312" w:cs="仿宋_GB2312"/>
          <w:b w:val="0"/>
          <w:bCs w:val="0"/>
          <w:i w:val="0"/>
          <w:caps w:val="0"/>
          <w:color w:val="000000"/>
          <w:spacing w:val="0"/>
          <w:kern w:val="0"/>
          <w:sz w:val="28"/>
          <w:szCs w:val="28"/>
          <w:lang w:val="en-US" w:eastAsia="zh-CN" w:bidi="ar"/>
        </w:rPr>
      </w:pPr>
      <w:r>
        <w:rPr>
          <w:rFonts w:hint="eastAsia" w:ascii="仿宋_GB2312" w:hAnsi="仿宋_GB2312" w:eastAsia="仿宋_GB2312" w:cs="仿宋_GB2312"/>
          <w:b w:val="0"/>
          <w:bCs w:val="0"/>
          <w:i w:val="0"/>
          <w:caps w:val="0"/>
          <w:color w:val="000000"/>
          <w:spacing w:val="0"/>
          <w:kern w:val="0"/>
          <w:sz w:val="28"/>
          <w:szCs w:val="28"/>
          <w:lang w:val="en-US" w:eastAsia="zh-CN" w:bidi="ar"/>
        </w:rPr>
        <w:t>本项目采用综合评分法进行评审。采购单位根据《符合性检查表》的内容和标准，对所有通过资格性核查的投标文件进行审查。只有逐条通过《符合性检查表》各项检查的投标方能进入下一阶段的评分（评分标准详见《评分表》）。</w:t>
      </w:r>
    </w:p>
    <w:p>
      <w:pPr>
        <w:pStyle w:val="4"/>
        <w:ind w:left="0" w:leftChars="0" w:firstLine="0" w:firstLineChars="0"/>
        <w:rPr>
          <w:rFonts w:hint="eastAsia"/>
          <w:lang w:val="en-US" w:eastAsia="zh-CN"/>
        </w:rPr>
      </w:pPr>
    </w:p>
    <w:p>
      <w:pPr>
        <w:spacing w:line="440" w:lineRule="exact"/>
        <w:jc w:val="center"/>
        <w:rPr>
          <w:rFonts w:hint="default" w:ascii="仿宋_GB2312" w:hAnsi="仿宋_GB2312" w:eastAsia="仿宋_GB2312" w:cs="仿宋_GB2312"/>
          <w:b/>
          <w:bCs/>
          <w:i w:val="0"/>
          <w:caps w:val="0"/>
          <w:color w:val="000000"/>
          <w:spacing w:val="0"/>
          <w:kern w:val="0"/>
          <w:sz w:val="28"/>
          <w:szCs w:val="28"/>
          <w:lang w:val="en-US" w:eastAsia="zh-CN" w:bidi="ar"/>
        </w:rPr>
      </w:pPr>
      <w:r>
        <w:rPr>
          <w:rFonts w:hint="eastAsia" w:ascii="仿宋_GB2312" w:hAnsi="仿宋_GB2312" w:eastAsia="仿宋_GB2312" w:cs="仿宋_GB2312"/>
          <w:b/>
          <w:bCs/>
          <w:i w:val="0"/>
          <w:caps w:val="0"/>
          <w:color w:val="000000"/>
          <w:spacing w:val="0"/>
          <w:kern w:val="0"/>
          <w:sz w:val="28"/>
          <w:szCs w:val="28"/>
          <w:lang w:val="en-US" w:eastAsia="zh-CN" w:bidi="ar"/>
        </w:rPr>
        <w:t>1.</w:t>
      </w:r>
      <w:r>
        <w:rPr>
          <w:rFonts w:hint="default" w:ascii="仿宋_GB2312" w:hAnsi="仿宋_GB2312" w:eastAsia="仿宋_GB2312" w:cs="仿宋_GB2312"/>
          <w:b/>
          <w:bCs/>
          <w:i w:val="0"/>
          <w:caps w:val="0"/>
          <w:color w:val="000000"/>
          <w:spacing w:val="0"/>
          <w:kern w:val="0"/>
          <w:sz w:val="28"/>
          <w:szCs w:val="28"/>
          <w:lang w:val="en-US" w:eastAsia="zh-CN" w:bidi="ar"/>
        </w:rPr>
        <w:t>符合性检查表</w:t>
      </w:r>
    </w:p>
    <w:tbl>
      <w:tblPr>
        <w:tblStyle w:val="11"/>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6600"/>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49" w:type="dxa"/>
            <w:vAlign w:val="center"/>
          </w:tcPr>
          <w:p>
            <w:pPr>
              <w:spacing w:line="440" w:lineRule="exact"/>
              <w:jc w:val="center"/>
              <w:rPr>
                <w:rFonts w:hint="default" w:ascii="仿宋_GB2312" w:hAnsi="仿宋_GB2312" w:eastAsia="仿宋_GB2312" w:cs="仿宋_GB2312"/>
                <w:b/>
                <w:bCs/>
                <w:i w:val="0"/>
                <w:caps w:val="0"/>
                <w:color w:val="000000"/>
                <w:spacing w:val="0"/>
                <w:kern w:val="0"/>
                <w:sz w:val="28"/>
                <w:szCs w:val="28"/>
                <w:lang w:val="en-US" w:eastAsia="zh-CN" w:bidi="ar"/>
              </w:rPr>
            </w:pPr>
            <w:r>
              <w:rPr>
                <w:rFonts w:hint="default" w:ascii="仿宋_GB2312" w:hAnsi="仿宋_GB2312" w:eastAsia="仿宋_GB2312" w:cs="仿宋_GB2312"/>
                <w:b/>
                <w:bCs/>
                <w:i w:val="0"/>
                <w:caps w:val="0"/>
                <w:color w:val="000000"/>
                <w:spacing w:val="0"/>
                <w:kern w:val="0"/>
                <w:sz w:val="28"/>
                <w:szCs w:val="28"/>
                <w:lang w:val="en-US" w:eastAsia="zh-CN" w:bidi="ar"/>
              </w:rPr>
              <w:t>序号</w:t>
            </w:r>
          </w:p>
        </w:tc>
        <w:tc>
          <w:tcPr>
            <w:tcW w:w="6600" w:type="dxa"/>
            <w:vAlign w:val="center"/>
          </w:tcPr>
          <w:p>
            <w:pPr>
              <w:spacing w:line="440" w:lineRule="exact"/>
              <w:ind w:left="-828" w:firstLine="828"/>
              <w:jc w:val="center"/>
              <w:rPr>
                <w:rFonts w:hint="default" w:ascii="仿宋_GB2312" w:hAnsi="仿宋_GB2312" w:eastAsia="仿宋_GB2312" w:cs="仿宋_GB2312"/>
                <w:b/>
                <w:bCs/>
                <w:i w:val="0"/>
                <w:caps w:val="0"/>
                <w:color w:val="000000"/>
                <w:spacing w:val="0"/>
                <w:kern w:val="0"/>
                <w:sz w:val="28"/>
                <w:szCs w:val="28"/>
                <w:lang w:val="en-US" w:eastAsia="zh-CN" w:bidi="ar"/>
              </w:rPr>
            </w:pPr>
            <w:r>
              <w:rPr>
                <w:rFonts w:hint="default" w:ascii="仿宋_GB2312" w:hAnsi="仿宋_GB2312" w:eastAsia="仿宋_GB2312" w:cs="仿宋_GB2312"/>
                <w:b/>
                <w:bCs/>
                <w:i w:val="0"/>
                <w:caps w:val="0"/>
                <w:color w:val="000000"/>
                <w:spacing w:val="0"/>
                <w:kern w:val="0"/>
                <w:sz w:val="28"/>
                <w:szCs w:val="28"/>
                <w:lang w:val="en-US" w:eastAsia="zh-CN" w:bidi="ar"/>
              </w:rPr>
              <w:t>评议内容</w:t>
            </w:r>
          </w:p>
        </w:tc>
        <w:tc>
          <w:tcPr>
            <w:tcW w:w="1766" w:type="dxa"/>
            <w:vAlign w:val="center"/>
          </w:tcPr>
          <w:p>
            <w:pPr>
              <w:spacing w:line="440" w:lineRule="exact"/>
              <w:ind w:left="44" w:hanging="44"/>
              <w:jc w:val="center"/>
              <w:rPr>
                <w:rFonts w:hint="default" w:ascii="仿宋_GB2312" w:hAnsi="仿宋_GB2312" w:eastAsia="仿宋_GB2312" w:cs="仿宋_GB2312"/>
                <w:b/>
                <w:bCs/>
                <w:i w:val="0"/>
                <w:caps w:val="0"/>
                <w:color w:val="000000"/>
                <w:spacing w:val="0"/>
                <w:kern w:val="0"/>
                <w:sz w:val="28"/>
                <w:szCs w:val="28"/>
                <w:lang w:val="en-US" w:eastAsia="zh-CN" w:bidi="ar"/>
              </w:rPr>
            </w:pPr>
            <w:r>
              <w:rPr>
                <w:rFonts w:hint="default" w:ascii="仿宋_GB2312" w:hAnsi="仿宋_GB2312" w:eastAsia="仿宋_GB2312" w:cs="仿宋_GB2312"/>
                <w:b/>
                <w:bCs/>
                <w:i w:val="0"/>
                <w:caps w:val="0"/>
                <w:color w:val="000000"/>
                <w:spacing w:val="0"/>
                <w:kern w:val="0"/>
                <w:sz w:val="28"/>
                <w:szCs w:val="28"/>
                <w:lang w:val="en-US" w:eastAsia="zh-CN" w:bidi="ar"/>
              </w:rPr>
              <w:t>评议结果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vAlign w:val="center"/>
          </w:tcPr>
          <w:p>
            <w:pPr>
              <w:spacing w:line="440" w:lineRule="exact"/>
              <w:ind w:left="57"/>
              <w:jc w:val="center"/>
              <w:rPr>
                <w:rFonts w:hint="default" w:ascii="仿宋_GB2312" w:hAnsi="仿宋_GB2312" w:eastAsia="仿宋_GB2312" w:cs="仿宋_GB2312"/>
                <w:b w:val="0"/>
                <w:bCs w:val="0"/>
                <w:i w:val="0"/>
                <w:caps w:val="0"/>
                <w:color w:val="000000"/>
                <w:spacing w:val="0"/>
                <w:kern w:val="0"/>
                <w:sz w:val="28"/>
                <w:szCs w:val="28"/>
                <w:lang w:val="en-US" w:eastAsia="zh-CN" w:bidi="ar"/>
              </w:rPr>
            </w:pPr>
            <w:r>
              <w:rPr>
                <w:rFonts w:hint="default" w:ascii="仿宋_GB2312" w:hAnsi="仿宋_GB2312" w:eastAsia="仿宋_GB2312" w:cs="仿宋_GB2312"/>
                <w:b w:val="0"/>
                <w:bCs w:val="0"/>
                <w:i w:val="0"/>
                <w:caps w:val="0"/>
                <w:color w:val="000000"/>
                <w:spacing w:val="0"/>
                <w:kern w:val="0"/>
                <w:sz w:val="28"/>
                <w:szCs w:val="28"/>
                <w:lang w:val="en-US" w:eastAsia="zh-CN" w:bidi="ar"/>
              </w:rPr>
              <w:t>1</w:t>
            </w:r>
          </w:p>
        </w:tc>
        <w:tc>
          <w:tcPr>
            <w:tcW w:w="6600" w:type="dxa"/>
            <w:vAlign w:val="center"/>
          </w:tcPr>
          <w:p>
            <w:pPr>
              <w:spacing w:line="440" w:lineRule="exact"/>
              <w:rPr>
                <w:rFonts w:hint="default" w:ascii="仿宋_GB2312" w:hAnsi="仿宋_GB2312" w:eastAsia="仿宋_GB2312" w:cs="仿宋_GB2312"/>
                <w:b w:val="0"/>
                <w:bCs w:val="0"/>
                <w:i w:val="0"/>
                <w:caps w:val="0"/>
                <w:color w:val="000000"/>
                <w:spacing w:val="0"/>
                <w:kern w:val="0"/>
                <w:sz w:val="28"/>
                <w:szCs w:val="28"/>
                <w:lang w:val="en-US" w:eastAsia="zh-CN" w:bidi="ar"/>
              </w:rPr>
            </w:pPr>
            <w:r>
              <w:rPr>
                <w:rFonts w:hint="eastAsia" w:ascii="仿宋_GB2312" w:hAnsi="仿宋_GB2312" w:eastAsia="仿宋_GB2312" w:cs="仿宋_GB2312"/>
                <w:b w:val="0"/>
                <w:bCs w:val="0"/>
                <w:i w:val="0"/>
                <w:caps w:val="0"/>
                <w:color w:val="000000"/>
                <w:spacing w:val="0"/>
                <w:kern w:val="0"/>
                <w:sz w:val="28"/>
                <w:szCs w:val="28"/>
                <w:lang w:val="en-US" w:eastAsia="zh-CN" w:bidi="ar"/>
              </w:rPr>
              <w:t>与其他投标供应商的法定代表人、主要经营负责人、投标授权代表人、项目负责人、主要技术人员为同一人、属同一单位或者在同一单位缴纳社会保险。</w:t>
            </w:r>
          </w:p>
        </w:tc>
        <w:tc>
          <w:tcPr>
            <w:tcW w:w="1766" w:type="dxa"/>
            <w:vAlign w:val="center"/>
          </w:tcPr>
          <w:p>
            <w:pPr>
              <w:spacing w:line="440" w:lineRule="exact"/>
              <w:jc w:val="center"/>
              <w:rPr>
                <w:rFonts w:hint="default" w:ascii="仿宋_GB2312" w:hAnsi="仿宋_GB2312" w:eastAsia="仿宋_GB2312" w:cs="仿宋_GB2312"/>
                <w:b w:val="0"/>
                <w:bCs w:val="0"/>
                <w:i w:val="0"/>
                <w:caps w:val="0"/>
                <w:color w:val="000000"/>
                <w:spacing w:val="0"/>
                <w:kern w:val="0"/>
                <w:sz w:val="28"/>
                <w:szCs w:val="28"/>
                <w:lang w:val="en-US" w:eastAsia="zh-CN" w:bidi="ar"/>
              </w:rPr>
            </w:pPr>
            <w:r>
              <w:rPr>
                <w:rFonts w:hint="default" w:ascii="仿宋_GB2312" w:hAnsi="仿宋_GB2312" w:eastAsia="仿宋_GB2312" w:cs="仿宋_GB2312"/>
                <w:b w:val="0"/>
                <w:bCs w:val="0"/>
                <w:i w:val="0"/>
                <w:caps w:val="0"/>
                <w:color w:val="000000"/>
                <w:spacing w:val="0"/>
                <w:kern w:val="0"/>
                <w:sz w:val="28"/>
                <w:szCs w:val="28"/>
                <w:lang w:val="en-US" w:eastAsia="zh-CN" w:bidi="ar"/>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49" w:type="dxa"/>
            <w:vAlign w:val="center"/>
          </w:tcPr>
          <w:p>
            <w:pPr>
              <w:spacing w:line="440" w:lineRule="exact"/>
              <w:ind w:left="57"/>
              <w:jc w:val="center"/>
              <w:rPr>
                <w:rFonts w:hint="default" w:ascii="仿宋_GB2312" w:hAnsi="仿宋_GB2312" w:eastAsia="仿宋_GB2312" w:cs="仿宋_GB2312"/>
                <w:b w:val="0"/>
                <w:bCs w:val="0"/>
                <w:i w:val="0"/>
                <w:caps w:val="0"/>
                <w:color w:val="000000"/>
                <w:spacing w:val="0"/>
                <w:kern w:val="0"/>
                <w:sz w:val="28"/>
                <w:szCs w:val="28"/>
                <w:lang w:val="en-US" w:eastAsia="zh-CN" w:bidi="ar"/>
              </w:rPr>
            </w:pPr>
            <w:r>
              <w:rPr>
                <w:rFonts w:hint="eastAsia" w:ascii="仿宋_GB2312" w:hAnsi="仿宋_GB2312" w:eastAsia="仿宋_GB2312" w:cs="仿宋_GB2312"/>
                <w:b w:val="0"/>
                <w:bCs w:val="0"/>
                <w:i w:val="0"/>
                <w:caps w:val="0"/>
                <w:color w:val="000000"/>
                <w:spacing w:val="0"/>
                <w:kern w:val="0"/>
                <w:sz w:val="28"/>
                <w:szCs w:val="28"/>
                <w:lang w:val="en-US" w:eastAsia="zh-CN" w:bidi="ar"/>
              </w:rPr>
              <w:t>2</w:t>
            </w:r>
          </w:p>
        </w:tc>
        <w:tc>
          <w:tcPr>
            <w:tcW w:w="6600" w:type="dxa"/>
            <w:vAlign w:val="center"/>
          </w:tcPr>
          <w:p>
            <w:pPr>
              <w:spacing w:line="440" w:lineRule="exact"/>
              <w:rPr>
                <w:rFonts w:hint="default" w:ascii="仿宋_GB2312" w:hAnsi="仿宋_GB2312" w:eastAsia="仿宋_GB2312" w:cs="仿宋_GB2312"/>
                <w:b w:val="0"/>
                <w:bCs w:val="0"/>
                <w:i w:val="0"/>
                <w:caps w:val="0"/>
                <w:color w:val="000000"/>
                <w:spacing w:val="0"/>
                <w:kern w:val="0"/>
                <w:sz w:val="28"/>
                <w:szCs w:val="28"/>
                <w:lang w:val="en-US" w:eastAsia="zh-CN" w:bidi="ar"/>
              </w:rPr>
            </w:pPr>
            <w:r>
              <w:rPr>
                <w:rFonts w:hint="eastAsia" w:ascii="仿宋_GB2312" w:hAnsi="仿宋_GB2312" w:eastAsia="仿宋_GB2312" w:cs="仿宋_GB2312"/>
                <w:b w:val="0"/>
                <w:bCs w:val="0"/>
                <w:i w:val="0"/>
                <w:caps w:val="0"/>
                <w:color w:val="000000"/>
                <w:spacing w:val="0"/>
                <w:kern w:val="0"/>
                <w:sz w:val="28"/>
                <w:szCs w:val="28"/>
                <w:lang w:val="en-US" w:eastAsia="zh-CN" w:bidi="ar"/>
              </w:rPr>
              <w:t>未出现无报价、报价为零或有选择性报价</w:t>
            </w:r>
          </w:p>
        </w:tc>
        <w:tc>
          <w:tcPr>
            <w:tcW w:w="1766" w:type="dxa"/>
            <w:vAlign w:val="center"/>
          </w:tcPr>
          <w:p>
            <w:pPr>
              <w:spacing w:line="440" w:lineRule="exact"/>
              <w:jc w:val="center"/>
              <w:rPr>
                <w:rFonts w:hint="default" w:ascii="仿宋_GB2312" w:hAnsi="仿宋_GB2312" w:eastAsia="仿宋_GB2312" w:cs="仿宋_GB2312"/>
                <w:b w:val="0"/>
                <w:bCs w:val="0"/>
                <w:i w:val="0"/>
                <w:caps w:val="0"/>
                <w:color w:val="000000"/>
                <w:spacing w:val="0"/>
                <w:kern w:val="0"/>
                <w:sz w:val="28"/>
                <w:szCs w:val="28"/>
                <w:lang w:val="en-US" w:eastAsia="zh-CN" w:bidi="ar"/>
              </w:rPr>
            </w:pPr>
            <w:r>
              <w:rPr>
                <w:rFonts w:hint="default" w:ascii="仿宋_GB2312" w:hAnsi="仿宋_GB2312" w:eastAsia="仿宋_GB2312" w:cs="仿宋_GB2312"/>
                <w:b w:val="0"/>
                <w:bCs w:val="0"/>
                <w:i w:val="0"/>
                <w:caps w:val="0"/>
                <w:color w:val="000000"/>
                <w:spacing w:val="0"/>
                <w:kern w:val="0"/>
                <w:sz w:val="28"/>
                <w:szCs w:val="28"/>
                <w:lang w:val="en-US" w:eastAsia="zh-CN" w:bidi="ar"/>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9" w:type="dxa"/>
            <w:vAlign w:val="center"/>
          </w:tcPr>
          <w:p>
            <w:pPr>
              <w:spacing w:line="440" w:lineRule="exact"/>
              <w:ind w:left="57"/>
              <w:jc w:val="center"/>
              <w:rPr>
                <w:rFonts w:hint="default" w:ascii="仿宋_GB2312" w:hAnsi="仿宋_GB2312" w:eastAsia="仿宋_GB2312" w:cs="仿宋_GB2312"/>
                <w:b w:val="0"/>
                <w:bCs w:val="0"/>
                <w:i w:val="0"/>
                <w:caps w:val="0"/>
                <w:color w:val="000000"/>
                <w:spacing w:val="0"/>
                <w:kern w:val="0"/>
                <w:sz w:val="28"/>
                <w:szCs w:val="28"/>
                <w:lang w:val="en-US" w:eastAsia="zh-CN" w:bidi="ar"/>
              </w:rPr>
            </w:pPr>
            <w:r>
              <w:rPr>
                <w:rFonts w:hint="eastAsia" w:ascii="仿宋_GB2312" w:hAnsi="仿宋_GB2312" w:eastAsia="仿宋_GB2312" w:cs="仿宋_GB2312"/>
                <w:b w:val="0"/>
                <w:bCs w:val="0"/>
                <w:i w:val="0"/>
                <w:caps w:val="0"/>
                <w:color w:val="000000"/>
                <w:spacing w:val="0"/>
                <w:kern w:val="0"/>
                <w:sz w:val="28"/>
                <w:szCs w:val="28"/>
                <w:lang w:val="en-US" w:eastAsia="zh-CN" w:bidi="ar"/>
              </w:rPr>
              <w:t>3</w:t>
            </w:r>
          </w:p>
        </w:tc>
        <w:tc>
          <w:tcPr>
            <w:tcW w:w="6600" w:type="dxa"/>
            <w:vAlign w:val="center"/>
          </w:tcPr>
          <w:p>
            <w:pPr>
              <w:spacing w:line="440" w:lineRule="exact"/>
              <w:rPr>
                <w:rFonts w:hint="default" w:ascii="仿宋_GB2312" w:hAnsi="仿宋_GB2312" w:eastAsia="仿宋_GB2312" w:cs="仿宋_GB2312"/>
                <w:b w:val="0"/>
                <w:bCs w:val="0"/>
                <w:i w:val="0"/>
                <w:caps w:val="0"/>
                <w:color w:val="000000"/>
                <w:spacing w:val="0"/>
                <w:kern w:val="0"/>
                <w:sz w:val="28"/>
                <w:szCs w:val="28"/>
                <w:lang w:val="en-US" w:eastAsia="zh-CN" w:bidi="ar"/>
              </w:rPr>
            </w:pPr>
            <w:r>
              <w:rPr>
                <w:rFonts w:hint="eastAsia" w:ascii="仿宋_GB2312" w:hAnsi="仿宋_GB2312" w:eastAsia="仿宋_GB2312" w:cs="仿宋_GB2312"/>
                <w:b w:val="0"/>
                <w:bCs w:val="0"/>
                <w:i w:val="0"/>
                <w:caps w:val="0"/>
                <w:color w:val="000000"/>
                <w:spacing w:val="0"/>
                <w:kern w:val="0"/>
                <w:sz w:val="28"/>
                <w:szCs w:val="28"/>
                <w:lang w:val="en-US" w:eastAsia="zh-CN" w:bidi="ar"/>
              </w:rPr>
              <w:t>投标总价或分项报价未超过预算控制金额</w:t>
            </w:r>
          </w:p>
        </w:tc>
        <w:tc>
          <w:tcPr>
            <w:tcW w:w="1766" w:type="dxa"/>
            <w:vAlign w:val="center"/>
          </w:tcPr>
          <w:p>
            <w:pPr>
              <w:spacing w:line="440" w:lineRule="exact"/>
              <w:jc w:val="center"/>
              <w:rPr>
                <w:rFonts w:hint="default" w:ascii="仿宋_GB2312" w:hAnsi="仿宋_GB2312" w:eastAsia="仿宋_GB2312" w:cs="仿宋_GB2312"/>
                <w:b w:val="0"/>
                <w:bCs w:val="0"/>
                <w:i w:val="0"/>
                <w:caps w:val="0"/>
                <w:color w:val="000000"/>
                <w:spacing w:val="0"/>
                <w:kern w:val="0"/>
                <w:sz w:val="28"/>
                <w:szCs w:val="28"/>
                <w:lang w:val="en-US" w:eastAsia="zh-CN" w:bidi="ar"/>
              </w:rPr>
            </w:pPr>
            <w:r>
              <w:rPr>
                <w:rFonts w:hint="default" w:ascii="仿宋_GB2312" w:hAnsi="仿宋_GB2312" w:eastAsia="仿宋_GB2312" w:cs="仿宋_GB2312"/>
                <w:b w:val="0"/>
                <w:bCs w:val="0"/>
                <w:i w:val="0"/>
                <w:caps w:val="0"/>
                <w:color w:val="000000"/>
                <w:spacing w:val="0"/>
                <w:kern w:val="0"/>
                <w:sz w:val="28"/>
                <w:szCs w:val="28"/>
                <w:lang w:val="en-US" w:eastAsia="zh-CN" w:bidi="ar"/>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849" w:type="dxa"/>
            <w:vAlign w:val="center"/>
          </w:tcPr>
          <w:p>
            <w:pPr>
              <w:spacing w:line="440" w:lineRule="exact"/>
              <w:ind w:left="57"/>
              <w:jc w:val="center"/>
              <w:rPr>
                <w:rFonts w:hint="default" w:ascii="仿宋_GB2312" w:hAnsi="仿宋_GB2312" w:eastAsia="仿宋_GB2312" w:cs="仿宋_GB2312"/>
                <w:b w:val="0"/>
                <w:bCs w:val="0"/>
                <w:i w:val="0"/>
                <w:caps w:val="0"/>
                <w:color w:val="000000"/>
                <w:spacing w:val="0"/>
                <w:kern w:val="0"/>
                <w:sz w:val="28"/>
                <w:szCs w:val="28"/>
                <w:lang w:val="en-US" w:eastAsia="zh-CN" w:bidi="ar"/>
              </w:rPr>
            </w:pPr>
            <w:r>
              <w:rPr>
                <w:rFonts w:hint="eastAsia" w:ascii="仿宋_GB2312" w:hAnsi="仿宋_GB2312" w:eastAsia="仿宋_GB2312" w:cs="仿宋_GB2312"/>
                <w:b w:val="0"/>
                <w:bCs w:val="0"/>
                <w:i w:val="0"/>
                <w:caps w:val="0"/>
                <w:color w:val="000000"/>
                <w:spacing w:val="0"/>
                <w:kern w:val="0"/>
                <w:sz w:val="28"/>
                <w:szCs w:val="28"/>
                <w:lang w:val="en-US" w:eastAsia="zh-CN" w:bidi="ar"/>
              </w:rPr>
              <w:t>4</w:t>
            </w:r>
          </w:p>
        </w:tc>
        <w:tc>
          <w:tcPr>
            <w:tcW w:w="6600" w:type="dxa"/>
            <w:vAlign w:val="center"/>
          </w:tcPr>
          <w:p>
            <w:pPr>
              <w:spacing w:line="440" w:lineRule="exact"/>
              <w:rPr>
                <w:rFonts w:hint="default" w:ascii="仿宋_GB2312" w:hAnsi="仿宋_GB2312" w:eastAsia="仿宋_GB2312" w:cs="仿宋_GB2312"/>
                <w:b w:val="0"/>
                <w:bCs w:val="0"/>
                <w:i w:val="0"/>
                <w:caps w:val="0"/>
                <w:color w:val="000000"/>
                <w:spacing w:val="0"/>
                <w:kern w:val="0"/>
                <w:sz w:val="28"/>
                <w:szCs w:val="28"/>
                <w:lang w:val="en-US" w:eastAsia="zh-CN" w:bidi="ar"/>
              </w:rPr>
            </w:pPr>
            <w:r>
              <w:rPr>
                <w:rFonts w:hint="eastAsia" w:ascii="仿宋_GB2312" w:hAnsi="仿宋_GB2312" w:eastAsia="仿宋_GB2312" w:cs="仿宋_GB2312"/>
                <w:b w:val="0"/>
                <w:bCs w:val="0"/>
                <w:i w:val="0"/>
                <w:caps w:val="0"/>
                <w:color w:val="000000"/>
                <w:spacing w:val="0"/>
                <w:kern w:val="0"/>
                <w:sz w:val="28"/>
                <w:szCs w:val="28"/>
                <w:lang w:val="en-US" w:eastAsia="zh-CN" w:bidi="ar"/>
              </w:rPr>
              <w:t>采购单位</w:t>
            </w:r>
            <w:r>
              <w:rPr>
                <w:rFonts w:hint="default" w:ascii="仿宋_GB2312" w:hAnsi="仿宋_GB2312" w:eastAsia="仿宋_GB2312" w:cs="仿宋_GB2312"/>
                <w:b w:val="0"/>
                <w:bCs w:val="0"/>
                <w:i w:val="0"/>
                <w:caps w:val="0"/>
                <w:color w:val="000000"/>
                <w:spacing w:val="0"/>
                <w:kern w:val="0"/>
                <w:sz w:val="28"/>
                <w:szCs w:val="28"/>
                <w:lang w:val="en-US" w:eastAsia="zh-CN" w:bidi="ar"/>
              </w:rPr>
              <w:t>认为投标人的报价明显低于其他通过符合性审查投标人的报价，有可能影响产品质量或者不能诚信履约的，投标人能在合理的时间内提供书面说明</w:t>
            </w:r>
            <w:r>
              <w:rPr>
                <w:rFonts w:hint="eastAsia" w:ascii="仿宋_GB2312" w:hAnsi="仿宋_GB2312" w:eastAsia="仿宋_GB2312" w:cs="仿宋_GB2312"/>
                <w:b w:val="0"/>
                <w:bCs w:val="0"/>
                <w:i w:val="0"/>
                <w:caps w:val="0"/>
                <w:color w:val="000000"/>
                <w:spacing w:val="0"/>
                <w:kern w:val="0"/>
                <w:sz w:val="28"/>
                <w:szCs w:val="28"/>
                <w:lang w:val="en-US" w:eastAsia="zh-CN" w:bidi="ar"/>
              </w:rPr>
              <w:t>（必要时提交相关证明材料）</w:t>
            </w:r>
            <w:r>
              <w:rPr>
                <w:rFonts w:hint="default" w:ascii="仿宋_GB2312" w:hAnsi="仿宋_GB2312" w:eastAsia="仿宋_GB2312" w:cs="仿宋_GB2312"/>
                <w:b w:val="0"/>
                <w:bCs w:val="0"/>
                <w:i w:val="0"/>
                <w:caps w:val="0"/>
                <w:color w:val="000000"/>
                <w:spacing w:val="0"/>
                <w:kern w:val="0"/>
                <w:sz w:val="28"/>
                <w:szCs w:val="28"/>
                <w:lang w:val="en-US" w:eastAsia="zh-CN" w:bidi="ar"/>
              </w:rPr>
              <w:t>或提交</w:t>
            </w:r>
            <w:r>
              <w:rPr>
                <w:rFonts w:hint="eastAsia" w:ascii="仿宋_GB2312" w:hAnsi="仿宋_GB2312" w:eastAsia="仿宋_GB2312" w:cs="仿宋_GB2312"/>
                <w:b w:val="0"/>
                <w:bCs w:val="0"/>
                <w:i w:val="0"/>
                <w:caps w:val="0"/>
                <w:color w:val="000000"/>
                <w:spacing w:val="0"/>
                <w:kern w:val="0"/>
                <w:sz w:val="28"/>
                <w:szCs w:val="28"/>
                <w:lang w:val="en-US" w:eastAsia="zh-CN" w:bidi="ar"/>
              </w:rPr>
              <w:t>的书面说明</w:t>
            </w:r>
            <w:r>
              <w:rPr>
                <w:rFonts w:hint="default" w:ascii="仿宋_GB2312" w:hAnsi="仿宋_GB2312" w:eastAsia="仿宋_GB2312" w:cs="仿宋_GB2312"/>
                <w:b w:val="0"/>
                <w:bCs w:val="0"/>
                <w:i w:val="0"/>
                <w:caps w:val="0"/>
                <w:color w:val="000000"/>
                <w:spacing w:val="0"/>
                <w:kern w:val="0"/>
                <w:sz w:val="28"/>
                <w:szCs w:val="28"/>
                <w:lang w:val="en-US" w:eastAsia="zh-CN" w:bidi="ar"/>
              </w:rPr>
              <w:t>能证明其报价合理性</w:t>
            </w:r>
            <w:r>
              <w:rPr>
                <w:rFonts w:hint="eastAsia" w:ascii="仿宋_GB2312" w:hAnsi="仿宋_GB2312" w:eastAsia="仿宋_GB2312" w:cs="仿宋_GB2312"/>
                <w:b w:val="0"/>
                <w:bCs w:val="0"/>
                <w:i w:val="0"/>
                <w:caps w:val="0"/>
                <w:color w:val="000000"/>
                <w:spacing w:val="0"/>
                <w:kern w:val="0"/>
                <w:sz w:val="28"/>
                <w:szCs w:val="28"/>
                <w:lang w:val="en-US" w:eastAsia="zh-CN" w:bidi="ar"/>
              </w:rPr>
              <w:t>。（若评审人员对是否须由投标人做出报价合理性说明，以及书面说明是否采纳等判断不一致的，按照“少数服从多数”的原则确定。）</w:t>
            </w:r>
          </w:p>
        </w:tc>
        <w:tc>
          <w:tcPr>
            <w:tcW w:w="1766" w:type="dxa"/>
            <w:vAlign w:val="center"/>
          </w:tcPr>
          <w:p>
            <w:pPr>
              <w:spacing w:line="440" w:lineRule="exact"/>
              <w:jc w:val="center"/>
              <w:rPr>
                <w:rFonts w:hint="default" w:ascii="仿宋_GB2312" w:hAnsi="仿宋_GB2312" w:eastAsia="仿宋_GB2312" w:cs="仿宋_GB2312"/>
                <w:b w:val="0"/>
                <w:bCs w:val="0"/>
                <w:i w:val="0"/>
                <w:caps w:val="0"/>
                <w:color w:val="000000"/>
                <w:spacing w:val="0"/>
                <w:kern w:val="0"/>
                <w:sz w:val="28"/>
                <w:szCs w:val="28"/>
                <w:lang w:val="en-US" w:eastAsia="zh-CN" w:bidi="ar"/>
              </w:rPr>
            </w:pPr>
            <w:r>
              <w:rPr>
                <w:rFonts w:hint="default" w:ascii="仿宋_GB2312" w:hAnsi="仿宋_GB2312" w:eastAsia="仿宋_GB2312" w:cs="仿宋_GB2312"/>
                <w:b w:val="0"/>
                <w:bCs w:val="0"/>
                <w:i w:val="0"/>
                <w:caps w:val="0"/>
                <w:color w:val="000000"/>
                <w:spacing w:val="0"/>
                <w:kern w:val="0"/>
                <w:sz w:val="28"/>
                <w:szCs w:val="28"/>
                <w:lang w:val="en-US" w:eastAsia="zh-CN" w:bidi="ar"/>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9" w:type="dxa"/>
            <w:vAlign w:val="center"/>
          </w:tcPr>
          <w:p>
            <w:pPr>
              <w:spacing w:line="440" w:lineRule="exact"/>
              <w:ind w:left="57"/>
              <w:jc w:val="center"/>
              <w:rPr>
                <w:rFonts w:hint="default" w:ascii="仿宋_GB2312" w:hAnsi="仿宋_GB2312" w:eastAsia="仿宋_GB2312" w:cs="仿宋_GB2312"/>
                <w:b w:val="0"/>
                <w:bCs w:val="0"/>
                <w:i w:val="0"/>
                <w:caps w:val="0"/>
                <w:color w:val="000000"/>
                <w:spacing w:val="0"/>
                <w:kern w:val="0"/>
                <w:sz w:val="28"/>
                <w:szCs w:val="28"/>
                <w:lang w:val="en-US" w:eastAsia="zh-CN" w:bidi="ar"/>
              </w:rPr>
            </w:pPr>
            <w:r>
              <w:rPr>
                <w:rFonts w:hint="eastAsia" w:ascii="仿宋_GB2312" w:hAnsi="仿宋_GB2312" w:eastAsia="仿宋_GB2312" w:cs="仿宋_GB2312"/>
                <w:b w:val="0"/>
                <w:bCs w:val="0"/>
                <w:i w:val="0"/>
                <w:caps w:val="0"/>
                <w:color w:val="000000"/>
                <w:spacing w:val="0"/>
                <w:kern w:val="0"/>
                <w:sz w:val="28"/>
                <w:szCs w:val="28"/>
                <w:lang w:val="en-US" w:eastAsia="zh-CN" w:bidi="ar"/>
              </w:rPr>
              <w:t>5</w:t>
            </w:r>
          </w:p>
        </w:tc>
        <w:tc>
          <w:tcPr>
            <w:tcW w:w="6600" w:type="dxa"/>
            <w:vAlign w:val="center"/>
          </w:tcPr>
          <w:p>
            <w:pPr>
              <w:spacing w:line="440" w:lineRule="exact"/>
              <w:rPr>
                <w:rFonts w:hint="default" w:ascii="仿宋_GB2312" w:hAnsi="仿宋_GB2312" w:eastAsia="仿宋_GB2312" w:cs="仿宋_GB2312"/>
                <w:b w:val="0"/>
                <w:bCs w:val="0"/>
                <w:i w:val="0"/>
                <w:caps w:val="0"/>
                <w:color w:val="000000"/>
                <w:spacing w:val="0"/>
                <w:kern w:val="0"/>
                <w:sz w:val="28"/>
                <w:szCs w:val="28"/>
                <w:lang w:val="en-US" w:eastAsia="zh-CN" w:bidi="ar"/>
              </w:rPr>
            </w:pPr>
            <w:r>
              <w:rPr>
                <w:rFonts w:hint="default" w:ascii="仿宋_GB2312" w:hAnsi="仿宋_GB2312" w:eastAsia="仿宋_GB2312" w:cs="仿宋_GB2312"/>
                <w:b w:val="0"/>
                <w:bCs w:val="0"/>
                <w:i w:val="0"/>
                <w:caps w:val="0"/>
                <w:color w:val="000000"/>
                <w:spacing w:val="0"/>
                <w:kern w:val="0"/>
                <w:sz w:val="28"/>
                <w:szCs w:val="28"/>
                <w:lang w:val="en-US" w:eastAsia="zh-CN" w:bidi="ar"/>
              </w:rPr>
              <w:t>实质性满足</w:t>
            </w:r>
            <w:r>
              <w:rPr>
                <w:rFonts w:hint="eastAsia" w:ascii="仿宋_GB2312" w:hAnsi="仿宋_GB2312" w:eastAsia="仿宋_GB2312" w:cs="仿宋_GB2312"/>
                <w:b w:val="0"/>
                <w:bCs w:val="0"/>
                <w:i w:val="0"/>
                <w:caps w:val="0"/>
                <w:color w:val="000000"/>
                <w:spacing w:val="0"/>
                <w:kern w:val="0"/>
                <w:sz w:val="28"/>
                <w:szCs w:val="28"/>
                <w:lang w:val="en-US" w:eastAsia="zh-CN" w:bidi="ar"/>
              </w:rPr>
              <w:t>采购需求</w:t>
            </w:r>
            <w:r>
              <w:rPr>
                <w:rFonts w:hint="default" w:ascii="仿宋_GB2312" w:hAnsi="仿宋_GB2312" w:eastAsia="仿宋_GB2312" w:cs="仿宋_GB2312"/>
                <w:b w:val="0"/>
                <w:bCs w:val="0"/>
                <w:i w:val="0"/>
                <w:caps w:val="0"/>
                <w:color w:val="000000"/>
                <w:spacing w:val="0"/>
                <w:kern w:val="0"/>
                <w:sz w:val="28"/>
                <w:szCs w:val="28"/>
                <w:lang w:val="en-US" w:eastAsia="zh-CN" w:bidi="ar"/>
              </w:rPr>
              <w:t>文件要求</w:t>
            </w:r>
            <w:r>
              <w:rPr>
                <w:rFonts w:hint="eastAsia" w:ascii="仿宋_GB2312" w:hAnsi="仿宋_GB2312" w:eastAsia="仿宋_GB2312" w:cs="仿宋_GB2312"/>
                <w:b w:val="0"/>
                <w:bCs w:val="0"/>
                <w:i w:val="0"/>
                <w:caps w:val="0"/>
                <w:color w:val="000000"/>
                <w:spacing w:val="0"/>
                <w:kern w:val="0"/>
                <w:sz w:val="28"/>
                <w:szCs w:val="28"/>
                <w:lang w:val="en-US" w:eastAsia="zh-CN" w:bidi="ar"/>
              </w:rPr>
              <w:t>和条件</w:t>
            </w:r>
          </w:p>
        </w:tc>
        <w:tc>
          <w:tcPr>
            <w:tcW w:w="1766" w:type="dxa"/>
            <w:vAlign w:val="center"/>
          </w:tcPr>
          <w:p>
            <w:pPr>
              <w:spacing w:line="440" w:lineRule="exact"/>
              <w:jc w:val="center"/>
              <w:rPr>
                <w:rFonts w:hint="default" w:ascii="仿宋_GB2312" w:hAnsi="仿宋_GB2312" w:eastAsia="仿宋_GB2312" w:cs="仿宋_GB2312"/>
                <w:b w:val="0"/>
                <w:bCs w:val="0"/>
                <w:i w:val="0"/>
                <w:caps w:val="0"/>
                <w:color w:val="000000"/>
                <w:spacing w:val="0"/>
                <w:kern w:val="0"/>
                <w:sz w:val="28"/>
                <w:szCs w:val="28"/>
                <w:lang w:val="en-US" w:eastAsia="zh-CN" w:bidi="ar"/>
              </w:rPr>
            </w:pPr>
            <w:r>
              <w:rPr>
                <w:rFonts w:hint="default" w:ascii="仿宋_GB2312" w:hAnsi="仿宋_GB2312" w:eastAsia="仿宋_GB2312" w:cs="仿宋_GB2312"/>
                <w:b w:val="0"/>
                <w:bCs w:val="0"/>
                <w:i w:val="0"/>
                <w:caps w:val="0"/>
                <w:color w:val="000000"/>
                <w:spacing w:val="0"/>
                <w:kern w:val="0"/>
                <w:sz w:val="28"/>
                <w:szCs w:val="28"/>
                <w:lang w:val="en-US" w:eastAsia="zh-CN" w:bidi="ar"/>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vAlign w:val="center"/>
          </w:tcPr>
          <w:p>
            <w:pPr>
              <w:spacing w:line="440" w:lineRule="exact"/>
              <w:ind w:left="57"/>
              <w:jc w:val="center"/>
              <w:rPr>
                <w:rFonts w:hint="default" w:ascii="仿宋_GB2312" w:hAnsi="仿宋_GB2312" w:eastAsia="仿宋_GB2312" w:cs="仿宋_GB2312"/>
                <w:b w:val="0"/>
                <w:bCs w:val="0"/>
                <w:i w:val="0"/>
                <w:caps w:val="0"/>
                <w:color w:val="000000"/>
                <w:spacing w:val="0"/>
                <w:kern w:val="0"/>
                <w:sz w:val="28"/>
                <w:szCs w:val="28"/>
                <w:lang w:val="en-US" w:eastAsia="zh-CN" w:bidi="ar"/>
              </w:rPr>
            </w:pPr>
            <w:r>
              <w:rPr>
                <w:rFonts w:hint="eastAsia" w:ascii="仿宋_GB2312" w:hAnsi="仿宋_GB2312" w:eastAsia="仿宋_GB2312" w:cs="仿宋_GB2312"/>
                <w:b w:val="0"/>
                <w:bCs w:val="0"/>
                <w:i w:val="0"/>
                <w:caps w:val="0"/>
                <w:color w:val="000000"/>
                <w:spacing w:val="0"/>
                <w:kern w:val="0"/>
                <w:sz w:val="28"/>
                <w:szCs w:val="28"/>
                <w:lang w:val="en-US" w:eastAsia="zh-CN" w:bidi="ar"/>
              </w:rPr>
              <w:t>6</w:t>
            </w:r>
          </w:p>
        </w:tc>
        <w:tc>
          <w:tcPr>
            <w:tcW w:w="6600" w:type="dxa"/>
            <w:vAlign w:val="center"/>
          </w:tcPr>
          <w:p>
            <w:pPr>
              <w:spacing w:line="440" w:lineRule="exact"/>
              <w:rPr>
                <w:rFonts w:hint="default" w:ascii="仿宋_GB2312" w:hAnsi="仿宋_GB2312" w:eastAsia="仿宋_GB2312" w:cs="仿宋_GB2312"/>
                <w:b w:val="0"/>
                <w:bCs w:val="0"/>
                <w:i w:val="0"/>
                <w:caps w:val="0"/>
                <w:color w:val="000000"/>
                <w:spacing w:val="0"/>
                <w:kern w:val="0"/>
                <w:sz w:val="28"/>
                <w:szCs w:val="28"/>
                <w:lang w:val="en-US" w:eastAsia="zh-CN" w:bidi="ar"/>
              </w:rPr>
            </w:pPr>
            <w:r>
              <w:rPr>
                <w:rFonts w:hint="default" w:ascii="仿宋_GB2312" w:hAnsi="仿宋_GB2312" w:eastAsia="仿宋_GB2312" w:cs="仿宋_GB2312"/>
                <w:b w:val="0"/>
                <w:bCs w:val="0"/>
                <w:i w:val="0"/>
                <w:caps w:val="0"/>
                <w:color w:val="000000"/>
                <w:spacing w:val="0"/>
                <w:kern w:val="0"/>
                <w:sz w:val="28"/>
                <w:szCs w:val="28"/>
                <w:lang w:val="en-US" w:eastAsia="zh-CN" w:bidi="ar"/>
              </w:rPr>
              <w:t>投标文件载明的项目服务期</w:t>
            </w:r>
            <w:r>
              <w:rPr>
                <w:rFonts w:hint="eastAsia" w:ascii="仿宋_GB2312" w:hAnsi="仿宋_GB2312" w:eastAsia="仿宋_GB2312" w:cs="仿宋_GB2312"/>
                <w:b w:val="0"/>
                <w:bCs w:val="0"/>
                <w:i w:val="0"/>
                <w:caps w:val="0"/>
                <w:color w:val="000000"/>
                <w:spacing w:val="0"/>
                <w:kern w:val="0"/>
                <w:sz w:val="28"/>
                <w:szCs w:val="28"/>
                <w:lang w:val="en-US" w:eastAsia="zh-CN" w:bidi="ar"/>
              </w:rPr>
              <w:t>符合采购需求</w:t>
            </w:r>
            <w:r>
              <w:rPr>
                <w:rFonts w:hint="default" w:ascii="仿宋_GB2312" w:hAnsi="仿宋_GB2312" w:eastAsia="仿宋_GB2312" w:cs="仿宋_GB2312"/>
                <w:b w:val="0"/>
                <w:bCs w:val="0"/>
                <w:i w:val="0"/>
                <w:caps w:val="0"/>
                <w:color w:val="000000"/>
                <w:spacing w:val="0"/>
                <w:kern w:val="0"/>
                <w:sz w:val="28"/>
                <w:szCs w:val="28"/>
                <w:lang w:val="en-US" w:eastAsia="zh-CN" w:bidi="ar"/>
              </w:rPr>
              <w:t>文件规定的期限</w:t>
            </w:r>
          </w:p>
        </w:tc>
        <w:tc>
          <w:tcPr>
            <w:tcW w:w="1766" w:type="dxa"/>
            <w:vAlign w:val="center"/>
          </w:tcPr>
          <w:p>
            <w:pPr>
              <w:spacing w:line="440" w:lineRule="exact"/>
              <w:jc w:val="center"/>
              <w:rPr>
                <w:rFonts w:hint="default" w:ascii="仿宋_GB2312" w:hAnsi="仿宋_GB2312" w:eastAsia="仿宋_GB2312" w:cs="仿宋_GB2312"/>
                <w:b w:val="0"/>
                <w:bCs w:val="0"/>
                <w:i w:val="0"/>
                <w:caps w:val="0"/>
                <w:color w:val="000000"/>
                <w:spacing w:val="0"/>
                <w:kern w:val="0"/>
                <w:sz w:val="28"/>
                <w:szCs w:val="28"/>
                <w:lang w:val="en-US" w:eastAsia="zh-CN" w:bidi="ar"/>
              </w:rPr>
            </w:pPr>
            <w:r>
              <w:rPr>
                <w:rFonts w:hint="default" w:ascii="仿宋_GB2312" w:hAnsi="仿宋_GB2312" w:eastAsia="仿宋_GB2312" w:cs="仿宋_GB2312"/>
                <w:b w:val="0"/>
                <w:bCs w:val="0"/>
                <w:i w:val="0"/>
                <w:caps w:val="0"/>
                <w:color w:val="000000"/>
                <w:spacing w:val="0"/>
                <w:kern w:val="0"/>
                <w:sz w:val="28"/>
                <w:szCs w:val="28"/>
                <w:lang w:val="en-US" w:eastAsia="zh-CN" w:bidi="ar"/>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vAlign w:val="center"/>
          </w:tcPr>
          <w:p>
            <w:pPr>
              <w:spacing w:line="440" w:lineRule="exact"/>
              <w:ind w:left="57"/>
              <w:jc w:val="center"/>
              <w:rPr>
                <w:rFonts w:hint="default" w:ascii="仿宋_GB2312" w:hAnsi="仿宋_GB2312" w:eastAsia="仿宋_GB2312" w:cs="仿宋_GB2312"/>
                <w:b w:val="0"/>
                <w:bCs w:val="0"/>
                <w:i w:val="0"/>
                <w:caps w:val="0"/>
                <w:color w:val="000000"/>
                <w:spacing w:val="0"/>
                <w:kern w:val="0"/>
                <w:sz w:val="28"/>
                <w:szCs w:val="28"/>
                <w:lang w:val="en-US" w:eastAsia="zh-CN" w:bidi="ar"/>
              </w:rPr>
            </w:pPr>
            <w:r>
              <w:rPr>
                <w:rFonts w:hint="eastAsia" w:ascii="仿宋_GB2312" w:hAnsi="仿宋_GB2312" w:eastAsia="仿宋_GB2312" w:cs="仿宋_GB2312"/>
                <w:b w:val="0"/>
                <w:bCs w:val="0"/>
                <w:i w:val="0"/>
                <w:caps w:val="0"/>
                <w:color w:val="000000"/>
                <w:spacing w:val="0"/>
                <w:kern w:val="0"/>
                <w:sz w:val="28"/>
                <w:szCs w:val="28"/>
                <w:lang w:val="en-US" w:eastAsia="zh-CN" w:bidi="ar"/>
              </w:rPr>
              <w:t>7</w:t>
            </w:r>
          </w:p>
        </w:tc>
        <w:tc>
          <w:tcPr>
            <w:tcW w:w="6600" w:type="dxa"/>
            <w:vAlign w:val="center"/>
          </w:tcPr>
          <w:p>
            <w:pPr>
              <w:spacing w:line="440" w:lineRule="exact"/>
              <w:rPr>
                <w:rFonts w:hint="default" w:ascii="仿宋_GB2312" w:hAnsi="仿宋_GB2312" w:eastAsia="仿宋_GB2312" w:cs="仿宋_GB2312"/>
                <w:b w:val="0"/>
                <w:bCs w:val="0"/>
                <w:i w:val="0"/>
                <w:caps w:val="0"/>
                <w:color w:val="000000"/>
                <w:spacing w:val="0"/>
                <w:kern w:val="0"/>
                <w:sz w:val="28"/>
                <w:szCs w:val="28"/>
                <w:lang w:val="en-US" w:eastAsia="zh-CN" w:bidi="ar"/>
              </w:rPr>
            </w:pPr>
            <w:r>
              <w:rPr>
                <w:rFonts w:hint="eastAsia" w:ascii="仿宋_GB2312" w:hAnsi="仿宋_GB2312" w:eastAsia="仿宋_GB2312" w:cs="仿宋_GB2312"/>
                <w:b w:val="0"/>
                <w:bCs w:val="0"/>
                <w:i w:val="0"/>
                <w:caps w:val="0"/>
                <w:color w:val="000000"/>
                <w:spacing w:val="0"/>
                <w:kern w:val="0"/>
                <w:sz w:val="28"/>
                <w:szCs w:val="28"/>
                <w:lang w:val="en-US" w:eastAsia="zh-CN" w:bidi="ar"/>
              </w:rPr>
              <w:t>不存在法律、法规及采购需求文件中规定的其他否决因素</w:t>
            </w:r>
          </w:p>
        </w:tc>
        <w:tc>
          <w:tcPr>
            <w:tcW w:w="1766" w:type="dxa"/>
            <w:vAlign w:val="center"/>
          </w:tcPr>
          <w:p>
            <w:pPr>
              <w:spacing w:line="440" w:lineRule="exact"/>
              <w:jc w:val="center"/>
              <w:rPr>
                <w:rFonts w:hint="default" w:ascii="仿宋_GB2312" w:hAnsi="仿宋_GB2312" w:eastAsia="仿宋_GB2312" w:cs="仿宋_GB2312"/>
                <w:b w:val="0"/>
                <w:bCs w:val="0"/>
                <w:i w:val="0"/>
                <w:caps w:val="0"/>
                <w:color w:val="000000"/>
                <w:spacing w:val="0"/>
                <w:kern w:val="0"/>
                <w:sz w:val="28"/>
                <w:szCs w:val="28"/>
                <w:lang w:val="en-US" w:eastAsia="zh-CN" w:bidi="ar"/>
              </w:rPr>
            </w:pPr>
            <w:r>
              <w:rPr>
                <w:rFonts w:hint="default" w:ascii="仿宋_GB2312" w:hAnsi="仿宋_GB2312" w:eastAsia="仿宋_GB2312" w:cs="仿宋_GB2312"/>
                <w:b w:val="0"/>
                <w:bCs w:val="0"/>
                <w:i w:val="0"/>
                <w:caps w:val="0"/>
                <w:color w:val="000000"/>
                <w:spacing w:val="0"/>
                <w:kern w:val="0"/>
                <w:sz w:val="28"/>
                <w:szCs w:val="28"/>
                <w:lang w:val="en-US" w:eastAsia="zh-CN" w:bidi="ar"/>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49" w:type="dxa"/>
            <w:vAlign w:val="center"/>
          </w:tcPr>
          <w:p>
            <w:pPr>
              <w:spacing w:line="440" w:lineRule="exact"/>
              <w:ind w:left="57"/>
              <w:jc w:val="center"/>
              <w:rPr>
                <w:rFonts w:hint="default" w:ascii="仿宋_GB2312" w:hAnsi="仿宋_GB2312" w:eastAsia="仿宋_GB2312" w:cs="仿宋_GB2312"/>
                <w:b w:val="0"/>
                <w:bCs w:val="0"/>
                <w:i w:val="0"/>
                <w:caps w:val="0"/>
                <w:color w:val="000000"/>
                <w:spacing w:val="0"/>
                <w:kern w:val="0"/>
                <w:sz w:val="28"/>
                <w:szCs w:val="28"/>
                <w:lang w:val="en-US" w:eastAsia="zh-CN" w:bidi="ar"/>
              </w:rPr>
            </w:pPr>
            <w:r>
              <w:rPr>
                <w:rFonts w:hint="eastAsia" w:ascii="仿宋_GB2312" w:hAnsi="仿宋_GB2312" w:eastAsia="仿宋_GB2312" w:cs="仿宋_GB2312"/>
                <w:b w:val="0"/>
                <w:bCs w:val="0"/>
                <w:i w:val="0"/>
                <w:caps w:val="0"/>
                <w:color w:val="000000"/>
                <w:spacing w:val="0"/>
                <w:kern w:val="0"/>
                <w:sz w:val="28"/>
                <w:szCs w:val="28"/>
                <w:lang w:val="en-US" w:eastAsia="zh-CN" w:bidi="ar"/>
              </w:rPr>
              <w:t>8</w:t>
            </w:r>
          </w:p>
        </w:tc>
        <w:tc>
          <w:tcPr>
            <w:tcW w:w="6600" w:type="dxa"/>
            <w:vAlign w:val="center"/>
          </w:tcPr>
          <w:p>
            <w:pPr>
              <w:spacing w:line="440" w:lineRule="exact"/>
              <w:rPr>
                <w:rFonts w:hint="default" w:ascii="仿宋_GB2312" w:hAnsi="仿宋_GB2312" w:eastAsia="仿宋_GB2312" w:cs="仿宋_GB2312"/>
                <w:b w:val="0"/>
                <w:bCs w:val="0"/>
                <w:i w:val="0"/>
                <w:caps w:val="0"/>
                <w:color w:val="000000"/>
                <w:spacing w:val="0"/>
                <w:kern w:val="0"/>
                <w:sz w:val="28"/>
                <w:szCs w:val="28"/>
                <w:lang w:val="en-US" w:eastAsia="zh-CN" w:bidi="ar"/>
              </w:rPr>
            </w:pPr>
            <w:r>
              <w:rPr>
                <w:rFonts w:hint="default" w:ascii="仿宋_GB2312" w:hAnsi="仿宋_GB2312" w:eastAsia="仿宋_GB2312" w:cs="仿宋_GB2312"/>
                <w:b w:val="0"/>
                <w:bCs w:val="0"/>
                <w:i w:val="0"/>
                <w:caps w:val="0"/>
                <w:color w:val="000000"/>
                <w:spacing w:val="0"/>
                <w:kern w:val="0"/>
                <w:sz w:val="28"/>
                <w:szCs w:val="28"/>
                <w:lang w:val="en-US" w:eastAsia="zh-CN" w:bidi="ar"/>
              </w:rPr>
              <w:t>结论</w:t>
            </w:r>
          </w:p>
        </w:tc>
        <w:tc>
          <w:tcPr>
            <w:tcW w:w="1766" w:type="dxa"/>
            <w:vAlign w:val="center"/>
          </w:tcPr>
          <w:p>
            <w:pPr>
              <w:spacing w:line="440" w:lineRule="exact"/>
              <w:jc w:val="center"/>
              <w:rPr>
                <w:rFonts w:hint="default" w:ascii="仿宋_GB2312" w:hAnsi="仿宋_GB2312" w:eastAsia="仿宋_GB2312" w:cs="仿宋_GB2312"/>
                <w:b w:val="0"/>
                <w:bCs w:val="0"/>
                <w:i w:val="0"/>
                <w:caps w:val="0"/>
                <w:color w:val="000000"/>
                <w:spacing w:val="0"/>
                <w:kern w:val="0"/>
                <w:sz w:val="28"/>
                <w:szCs w:val="28"/>
                <w:lang w:val="en-US" w:eastAsia="zh-CN" w:bidi="ar"/>
              </w:rPr>
            </w:pPr>
            <w:r>
              <w:rPr>
                <w:rFonts w:hint="default" w:ascii="仿宋_GB2312" w:hAnsi="仿宋_GB2312" w:eastAsia="仿宋_GB2312" w:cs="仿宋_GB2312"/>
                <w:b w:val="0"/>
                <w:bCs w:val="0"/>
                <w:i w:val="0"/>
                <w:caps w:val="0"/>
                <w:color w:val="000000"/>
                <w:spacing w:val="0"/>
                <w:kern w:val="0"/>
                <w:sz w:val="28"/>
                <w:szCs w:val="28"/>
                <w:lang w:val="en-US" w:eastAsia="zh-CN" w:bidi="ar"/>
              </w:rPr>
              <w:t>通过/不通过</w:t>
            </w:r>
          </w:p>
        </w:tc>
      </w:tr>
    </w:tbl>
    <w:p>
      <w:pPr>
        <w:spacing w:line="340" w:lineRule="exact"/>
        <w:rPr>
          <w:rFonts w:hint="eastAsia" w:ascii="仿宋_GB2312" w:hAnsi="仿宋_GB2312" w:eastAsia="仿宋_GB2312" w:cs="仿宋_GB2312"/>
          <w:b w:val="0"/>
          <w:bCs w:val="0"/>
          <w:i w:val="0"/>
          <w:caps w:val="0"/>
          <w:color w:val="000000"/>
          <w:spacing w:val="0"/>
          <w:kern w:val="0"/>
          <w:sz w:val="28"/>
          <w:szCs w:val="28"/>
          <w:lang w:val="en-US" w:eastAsia="zh-CN" w:bidi="ar"/>
        </w:rPr>
      </w:pPr>
    </w:p>
    <w:p>
      <w:pPr>
        <w:pStyle w:val="4"/>
        <w:rPr>
          <w:rFonts w:hint="eastAsia"/>
          <w:lang w:val="en-US" w:eastAsia="zh-CN"/>
        </w:rPr>
      </w:pPr>
    </w:p>
    <w:p>
      <w:pPr>
        <w:spacing w:line="340" w:lineRule="exact"/>
        <w:jc w:val="center"/>
        <w:rPr>
          <w:rFonts w:hint="default" w:ascii="仿宋_GB2312" w:hAnsi="仿宋_GB2312" w:eastAsia="仿宋_GB2312" w:cs="仿宋_GB2312"/>
          <w:b w:val="0"/>
          <w:bCs w:val="0"/>
          <w:i w:val="0"/>
          <w:caps w:val="0"/>
          <w:color w:val="000000"/>
          <w:spacing w:val="0"/>
          <w:kern w:val="0"/>
          <w:sz w:val="28"/>
          <w:szCs w:val="28"/>
          <w:lang w:val="en-US" w:eastAsia="zh-CN" w:bidi="ar"/>
        </w:rPr>
      </w:pPr>
      <w:r>
        <w:rPr>
          <w:rFonts w:hint="eastAsia" w:ascii="仿宋_GB2312" w:hAnsi="仿宋_GB2312" w:eastAsia="仿宋_GB2312" w:cs="仿宋_GB2312"/>
          <w:b/>
          <w:bCs/>
          <w:i w:val="0"/>
          <w:caps w:val="0"/>
          <w:color w:val="000000"/>
          <w:spacing w:val="0"/>
          <w:kern w:val="0"/>
          <w:sz w:val="28"/>
          <w:szCs w:val="28"/>
          <w:lang w:val="en-US" w:eastAsia="zh-CN" w:bidi="ar"/>
        </w:rPr>
        <w:t>2.评分表</w:t>
      </w:r>
    </w:p>
    <w:tbl>
      <w:tblPr>
        <w:tblStyle w:val="11"/>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455"/>
        <w:gridCol w:w="1537"/>
        <w:gridCol w:w="1185"/>
        <w:gridCol w:w="5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spacing w:line="360" w:lineRule="auto"/>
              <w:jc w:val="center"/>
              <w:rPr>
                <w:rFonts w:hint="default" w:ascii="仿宋_GB2312" w:hAnsi="仿宋_GB2312" w:eastAsia="仿宋_GB2312" w:cs="仿宋_GB2312"/>
                <w:b/>
                <w:bCs/>
                <w:i w:val="0"/>
                <w:caps w:val="0"/>
                <w:color w:val="000000"/>
                <w:spacing w:val="0"/>
                <w:kern w:val="0"/>
                <w:sz w:val="28"/>
                <w:szCs w:val="28"/>
                <w:highlight w:val="none"/>
                <w:lang w:val="en-US" w:eastAsia="zh-CN" w:bidi="ar"/>
              </w:rPr>
            </w:pPr>
            <w:bookmarkStart w:id="0" w:name="OLE_LINK3" w:colFirst="0" w:colLast="4"/>
            <w:r>
              <w:rPr>
                <w:rFonts w:hint="eastAsia" w:ascii="仿宋_GB2312" w:hAnsi="仿宋_GB2312" w:eastAsia="仿宋_GB2312" w:cs="仿宋_GB2312"/>
                <w:b/>
                <w:bCs/>
                <w:i w:val="0"/>
                <w:caps w:val="0"/>
                <w:color w:val="000000"/>
                <w:spacing w:val="0"/>
                <w:kern w:val="0"/>
                <w:sz w:val="28"/>
                <w:szCs w:val="28"/>
                <w:highlight w:val="none"/>
                <w:lang w:val="en-US" w:eastAsia="zh-CN" w:bidi="ar"/>
              </w:rPr>
              <w:t>序号</w:t>
            </w:r>
          </w:p>
        </w:tc>
        <w:tc>
          <w:tcPr>
            <w:tcW w:w="3177" w:type="dxa"/>
            <w:gridSpan w:val="3"/>
            <w:vAlign w:val="center"/>
          </w:tcPr>
          <w:p>
            <w:pPr>
              <w:spacing w:line="360" w:lineRule="auto"/>
              <w:jc w:val="center"/>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评分项</w:t>
            </w:r>
          </w:p>
        </w:tc>
        <w:tc>
          <w:tcPr>
            <w:tcW w:w="5105" w:type="dxa"/>
            <w:vAlign w:val="center"/>
          </w:tcPr>
          <w:p>
            <w:pPr>
              <w:spacing w:line="360" w:lineRule="auto"/>
              <w:jc w:val="center"/>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spacing w:line="360" w:lineRule="auto"/>
              <w:jc w:val="center"/>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一</w:t>
            </w:r>
          </w:p>
        </w:tc>
        <w:tc>
          <w:tcPr>
            <w:tcW w:w="3177" w:type="dxa"/>
            <w:gridSpan w:val="3"/>
            <w:vAlign w:val="center"/>
          </w:tcPr>
          <w:p>
            <w:pPr>
              <w:spacing w:line="360" w:lineRule="auto"/>
              <w:jc w:val="center"/>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价格</w:t>
            </w:r>
          </w:p>
        </w:tc>
        <w:tc>
          <w:tcPr>
            <w:tcW w:w="5105" w:type="dxa"/>
            <w:vAlign w:val="center"/>
          </w:tcPr>
          <w:p>
            <w:pPr>
              <w:spacing w:line="360" w:lineRule="auto"/>
              <w:jc w:val="center"/>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spacing w:line="360" w:lineRule="auto"/>
              <w:jc w:val="cente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p>
        </w:tc>
        <w:tc>
          <w:tcPr>
            <w:tcW w:w="8282" w:type="dxa"/>
            <w:gridSpan w:val="4"/>
            <w:vAlign w:val="center"/>
          </w:tcPr>
          <w:p>
            <w:pPr>
              <w:spacing w:line="42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投标报价价格分=（评标基准价/投标报价）×10</w:t>
            </w:r>
          </w:p>
          <w:p>
            <w:pPr>
              <w:spacing w:line="42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评标基准价为满足招标文件要求且投标价格最低的投标报价。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3" w:type="dxa"/>
            <w:shd w:val="clear" w:color="auto" w:fill="auto"/>
            <w:vAlign w:val="center"/>
          </w:tcPr>
          <w:p>
            <w:pPr>
              <w:spacing w:line="360" w:lineRule="auto"/>
              <w:jc w:val="center"/>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二</w:t>
            </w:r>
          </w:p>
        </w:tc>
        <w:tc>
          <w:tcPr>
            <w:tcW w:w="3177" w:type="dxa"/>
            <w:gridSpan w:val="3"/>
            <w:shd w:val="clear" w:color="auto" w:fill="auto"/>
            <w:vAlign w:val="center"/>
          </w:tcPr>
          <w:p>
            <w:pPr>
              <w:spacing w:line="360" w:lineRule="auto"/>
              <w:jc w:val="center"/>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技术部分</w:t>
            </w:r>
          </w:p>
        </w:tc>
        <w:tc>
          <w:tcPr>
            <w:tcW w:w="5105" w:type="dxa"/>
            <w:shd w:val="clear" w:color="auto" w:fill="auto"/>
            <w:vAlign w:val="center"/>
          </w:tcPr>
          <w:p>
            <w:pPr>
              <w:spacing w:line="360" w:lineRule="auto"/>
              <w:jc w:val="center"/>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Merge w:val="restart"/>
            <w:shd w:val="clear" w:color="auto" w:fill="auto"/>
            <w:vAlign w:val="center"/>
          </w:tcPr>
          <w:p>
            <w:pPr>
              <w:spacing w:line="360" w:lineRule="auto"/>
              <w:jc w:val="cente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p>
        </w:tc>
        <w:tc>
          <w:tcPr>
            <w:tcW w:w="455" w:type="dxa"/>
            <w:shd w:val="clear" w:color="auto" w:fill="auto"/>
            <w:vAlign w:val="center"/>
          </w:tcPr>
          <w:p>
            <w:pPr>
              <w:spacing w:line="360" w:lineRule="auto"/>
              <w:jc w:val="center"/>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序号</w:t>
            </w:r>
          </w:p>
        </w:tc>
        <w:tc>
          <w:tcPr>
            <w:tcW w:w="1537" w:type="dxa"/>
            <w:shd w:val="clear" w:color="auto" w:fill="auto"/>
            <w:vAlign w:val="center"/>
          </w:tcPr>
          <w:p>
            <w:pPr>
              <w:spacing w:line="360" w:lineRule="auto"/>
              <w:jc w:val="center"/>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评分因素</w:t>
            </w:r>
          </w:p>
        </w:tc>
        <w:tc>
          <w:tcPr>
            <w:tcW w:w="1185" w:type="dxa"/>
            <w:shd w:val="clear" w:color="auto" w:fill="auto"/>
            <w:vAlign w:val="center"/>
          </w:tcPr>
          <w:p>
            <w:pPr>
              <w:spacing w:line="360" w:lineRule="auto"/>
              <w:jc w:val="center"/>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分值</w:t>
            </w:r>
          </w:p>
        </w:tc>
        <w:tc>
          <w:tcPr>
            <w:tcW w:w="5105" w:type="dxa"/>
            <w:shd w:val="clear" w:color="auto" w:fill="auto"/>
            <w:vAlign w:val="center"/>
          </w:tcPr>
          <w:p>
            <w:pPr>
              <w:spacing w:line="360" w:lineRule="auto"/>
              <w:jc w:val="center"/>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Merge w:val="continue"/>
            <w:shd w:val="clear" w:color="auto" w:fill="auto"/>
            <w:vAlign w:val="center"/>
          </w:tcPr>
          <w:p>
            <w:pPr>
              <w:spacing w:line="360" w:lineRule="auto"/>
              <w:jc w:val="center"/>
              <w:outlineLvl w:val="0"/>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p>
        </w:tc>
        <w:tc>
          <w:tcPr>
            <w:tcW w:w="455" w:type="dxa"/>
            <w:shd w:val="clear" w:color="auto" w:fill="auto"/>
            <w:vAlign w:val="center"/>
          </w:tcPr>
          <w:p>
            <w:pPr>
              <w:spacing w:line="360" w:lineRule="auto"/>
              <w:jc w:val="cente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1</w:t>
            </w:r>
          </w:p>
        </w:tc>
        <w:tc>
          <w:tcPr>
            <w:tcW w:w="1537" w:type="dxa"/>
            <w:shd w:val="clear" w:color="auto" w:fill="auto"/>
            <w:vAlign w:val="center"/>
          </w:tcPr>
          <w:p>
            <w:pPr>
              <w:spacing w:line="380" w:lineRule="exact"/>
              <w:jc w:val="cente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大赛组织方案</w:t>
            </w:r>
          </w:p>
        </w:tc>
        <w:tc>
          <w:tcPr>
            <w:tcW w:w="1185" w:type="dxa"/>
            <w:shd w:val="clear" w:color="auto" w:fill="auto"/>
            <w:vAlign w:val="center"/>
          </w:tcPr>
          <w:p>
            <w:pPr>
              <w:spacing w:line="360" w:lineRule="auto"/>
              <w:jc w:val="cente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2</w:t>
            </w:r>
            <w: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t>0</w:t>
            </w:r>
          </w:p>
        </w:tc>
        <w:tc>
          <w:tcPr>
            <w:tcW w:w="5105" w:type="dxa"/>
            <w:shd w:val="clear" w:color="auto" w:fill="auto"/>
            <w:vAlign w:val="center"/>
          </w:tcPr>
          <w:p>
            <w:pPr>
              <w:shd w:val="clear" w:color="auto" w:fill="FFFFFF"/>
              <w:spacing w:line="300" w:lineRule="exact"/>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（一）评审标准：</w:t>
            </w:r>
          </w:p>
          <w:p>
            <w:pPr>
              <w:shd w:val="clear" w:color="auto" w:fill="FFFFFF"/>
              <w:spacing w:line="30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投标文件中大赛组织方案内容应包括但不限于：</w:t>
            </w:r>
          </w:p>
          <w:p>
            <w:pPr>
              <w:shd w:val="clear" w:color="auto" w:fill="FFFFFF"/>
              <w:spacing w:line="30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1.投标人亮点介绍；</w:t>
            </w:r>
          </w:p>
          <w:p>
            <w:pPr>
              <w:shd w:val="clear" w:color="auto" w:fill="FFFFFF"/>
              <w:spacing w:line="30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2.赛事组织及安排；</w:t>
            </w:r>
          </w:p>
          <w:p>
            <w:pPr>
              <w:shd w:val="clear" w:color="auto" w:fill="FFFFFF"/>
              <w:spacing w:line="30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3.项目征集合作机构；</w:t>
            </w:r>
          </w:p>
          <w:p>
            <w:pPr>
              <w:shd w:val="clear" w:color="auto" w:fill="FFFFFF"/>
              <w:spacing w:line="30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4.评审安排；</w:t>
            </w:r>
          </w:p>
          <w:p>
            <w:pPr>
              <w:shd w:val="clear" w:color="auto" w:fill="FFFFFF"/>
              <w:spacing w:line="30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5.可邀请评委名单及评委简历；</w:t>
            </w:r>
          </w:p>
          <w:p>
            <w:pPr>
              <w:shd w:val="clear" w:color="auto" w:fill="FFFFFF"/>
              <w:spacing w:line="30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6.赛事现场布置；</w:t>
            </w:r>
          </w:p>
          <w:p>
            <w:pPr>
              <w:shd w:val="clear" w:color="auto" w:fill="FFFFFF"/>
              <w:spacing w:line="30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7.赛事宣讲会；</w:t>
            </w:r>
          </w:p>
          <w:p>
            <w:pPr>
              <w:shd w:val="clear" w:color="auto" w:fill="FFFFFF"/>
              <w:spacing w:line="30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8.赛事宣传安排（内容涵盖：A.宣传节点安排、B.宣传活动策划、C.在各大宣传平台上对赛事报道不少于10篇文章。）；</w:t>
            </w:r>
          </w:p>
          <w:p>
            <w:pPr>
              <w:shd w:val="clear" w:color="auto" w:fill="FFFFFF"/>
              <w:spacing w:line="30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9.建议的组织执行工作；</w:t>
            </w:r>
          </w:p>
          <w:p>
            <w:pPr>
              <w:shd w:val="clear" w:color="auto" w:fill="FFFFFF"/>
              <w:spacing w:line="30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10.征集项目数150个以上，投标人须提供承诺函，格式自拟。</w:t>
            </w:r>
          </w:p>
          <w:p>
            <w:pPr>
              <w:spacing w:line="300" w:lineRule="exact"/>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（二）评分依据：</w:t>
            </w:r>
          </w:p>
          <w:p>
            <w:pPr>
              <w:spacing w:line="30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（1）满足以上10项要求得15分，满足以上任意9项要求得12分，满足以上任意7-8项要求得9分，满足以上任意5-6项要求得6分，满足以上任意3-4项要求得3分，满足以上任意1-2项要求得1分，其他情况不得分。</w:t>
            </w:r>
          </w:p>
          <w:p>
            <w:pPr>
              <w:spacing w:line="300" w:lineRule="exact"/>
              <w:jc w:val="lef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（2）在此基础上，评审人员根据各供应商的具体响应情况按照量化的评审因素进一步评审：</w:t>
            </w: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br w:type="textWrapping"/>
            </w: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1.评审为优（大赛组织方案内容具体、内容针对性强、内容科学合理、内容可操作性强）的加5分；</w:t>
            </w: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br w:type="textWrapping"/>
            </w: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2.评审为良（大赛组织方案内容较具体、内容针对性较强、内容较科学合理、内容可操作性较强）的加3分；</w:t>
            </w: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br w:type="textWrapping"/>
            </w: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3.评审为中（大赛组织方案内容具体性一般、内容针对性一般）的加1分；</w:t>
            </w: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br w:type="textWrapping"/>
            </w: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4.评审为差（大赛组织方案内容具体性差、内容针对性差、内容科学合理性差、内容可操作性差）的不加分；评审为差，评审人员须书面说明理由，并记录在档。</w:t>
            </w:r>
          </w:p>
          <w:p>
            <w:pPr>
              <w:spacing w:line="300" w:lineRule="exact"/>
              <w:jc w:val="lef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未提供组织方案的不得分。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Merge w:val="continue"/>
            <w:shd w:val="clear" w:color="auto" w:fill="auto"/>
            <w:vAlign w:val="center"/>
          </w:tcPr>
          <w:p>
            <w:pPr>
              <w:spacing w:line="360" w:lineRule="auto"/>
              <w:jc w:val="center"/>
              <w:outlineLvl w:val="0"/>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p>
        </w:tc>
        <w:tc>
          <w:tcPr>
            <w:tcW w:w="455" w:type="dxa"/>
            <w:shd w:val="clear" w:color="auto" w:fill="auto"/>
            <w:vAlign w:val="center"/>
          </w:tcPr>
          <w:p>
            <w:pPr>
              <w:spacing w:line="360" w:lineRule="auto"/>
              <w:jc w:val="cente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2</w:t>
            </w:r>
          </w:p>
        </w:tc>
        <w:tc>
          <w:tcPr>
            <w:tcW w:w="1537" w:type="dxa"/>
            <w:shd w:val="clear" w:color="auto" w:fill="auto"/>
            <w:vAlign w:val="center"/>
          </w:tcPr>
          <w:p>
            <w:pPr>
              <w:spacing w:line="380" w:lineRule="exact"/>
              <w:jc w:val="cente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大赛评委邀请</w:t>
            </w:r>
          </w:p>
        </w:tc>
        <w:tc>
          <w:tcPr>
            <w:tcW w:w="1185" w:type="dxa"/>
            <w:shd w:val="clear" w:color="auto" w:fill="auto"/>
            <w:vAlign w:val="center"/>
          </w:tcPr>
          <w:p>
            <w:pPr>
              <w:spacing w:line="360" w:lineRule="auto"/>
              <w:jc w:val="cente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1</w:t>
            </w:r>
            <w: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t>0</w:t>
            </w:r>
          </w:p>
        </w:tc>
        <w:tc>
          <w:tcPr>
            <w:tcW w:w="5105" w:type="dxa"/>
            <w:shd w:val="clear" w:color="auto" w:fill="auto"/>
            <w:vAlign w:val="center"/>
          </w:tcPr>
          <w:p>
            <w:pPr>
              <w:adjustRightInd w:val="0"/>
              <w:snapToGrid w:val="0"/>
              <w:spacing w:line="380" w:lineRule="exact"/>
              <w:jc w:val="left"/>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（一）评审标准：</w:t>
            </w:r>
          </w:p>
          <w:p>
            <w:pPr>
              <w:spacing w:line="38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初赛邀请不少于7名国内专家评审，其中投资专家不少于4名；决赛邀请7名当地技术专家、投资专家担任评委。不满足评委设定的，本大项不得分，在此基础进行评审，其中：</w:t>
            </w:r>
          </w:p>
          <w:p>
            <w:pPr>
              <w:spacing w:line="38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1.每邀请1位国外正教授，或同级及以上研究员担任决赛评委，得4分；</w:t>
            </w:r>
          </w:p>
          <w:p>
            <w:pPr>
              <w:spacing w:line="38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2.每邀请1位国外副教授或副研究员担任决赛评委，得3分；</w:t>
            </w:r>
          </w:p>
          <w:p>
            <w:pPr>
              <w:spacing w:line="38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两小项之和，最高得10分。</w:t>
            </w:r>
          </w:p>
          <w:p>
            <w:pPr>
              <w:adjustRightInd w:val="0"/>
              <w:snapToGrid w:val="0"/>
              <w:spacing w:line="380" w:lineRule="exact"/>
              <w:jc w:val="left"/>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（二）评分依据：</w:t>
            </w:r>
          </w:p>
          <w:p>
            <w:pPr>
              <w:shd w:val="clear" w:color="auto" w:fill="FFFFFF"/>
              <w:spacing w:line="38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要求投标人提供专家简历，以及其他可证明国外副教授级或同级及以上研究员的相关佐证材料。未提供证明资料或未按要求提供资料的或提供的材料专家认为无法判断的均不得分。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Merge w:val="continue"/>
            <w:shd w:val="clear" w:color="auto" w:fill="auto"/>
            <w:vAlign w:val="center"/>
          </w:tcPr>
          <w:p>
            <w:pPr>
              <w:spacing w:line="360" w:lineRule="auto"/>
              <w:jc w:val="center"/>
              <w:outlineLvl w:val="0"/>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p>
        </w:tc>
        <w:tc>
          <w:tcPr>
            <w:tcW w:w="455" w:type="dxa"/>
            <w:shd w:val="clear" w:color="auto" w:fill="auto"/>
            <w:vAlign w:val="center"/>
          </w:tcPr>
          <w:p>
            <w:pPr>
              <w:spacing w:line="360" w:lineRule="auto"/>
              <w:jc w:val="cente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3</w:t>
            </w:r>
          </w:p>
        </w:tc>
        <w:tc>
          <w:tcPr>
            <w:tcW w:w="1537" w:type="dxa"/>
            <w:shd w:val="clear" w:color="auto" w:fill="auto"/>
            <w:vAlign w:val="center"/>
          </w:tcPr>
          <w:p>
            <w:pPr>
              <w:spacing w:line="380" w:lineRule="exact"/>
              <w:jc w:val="cente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生态资源对接能力</w:t>
            </w:r>
          </w:p>
        </w:tc>
        <w:tc>
          <w:tcPr>
            <w:tcW w:w="1185" w:type="dxa"/>
            <w:shd w:val="clear" w:color="auto" w:fill="auto"/>
            <w:vAlign w:val="center"/>
          </w:tcPr>
          <w:p>
            <w:pPr>
              <w:spacing w:line="360" w:lineRule="auto"/>
              <w:jc w:val="cente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10</w:t>
            </w:r>
          </w:p>
        </w:tc>
        <w:tc>
          <w:tcPr>
            <w:tcW w:w="5105" w:type="dxa"/>
            <w:shd w:val="clear" w:color="auto" w:fill="auto"/>
            <w:vAlign w:val="center"/>
          </w:tcPr>
          <w:p>
            <w:pPr>
              <w:adjustRightInd w:val="0"/>
              <w:snapToGrid w:val="0"/>
              <w:spacing w:line="380" w:lineRule="exact"/>
              <w:jc w:val="left"/>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（一）评审标准：</w:t>
            </w:r>
          </w:p>
          <w:p>
            <w:pPr>
              <w:spacing w:line="380" w:lineRule="exact"/>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与海外机构（包括但不限于：政府机构、科研高校、孵化载体、社会组织等）建立合作关系，用于大赛宣传、征集项目、推荐评委嘉宾等，评审标准：</w:t>
            </w: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br w:type="textWrapping"/>
            </w: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1.累计15个及以上，得10分；</w:t>
            </w:r>
          </w:p>
          <w:p>
            <w:pPr>
              <w:spacing w:line="380" w:lineRule="exact"/>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2.累计10-14个，得7分；</w:t>
            </w:r>
          </w:p>
          <w:p>
            <w:pPr>
              <w:spacing w:line="380" w:lineRule="exact"/>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3.累计5-9个，得4分；</w:t>
            </w:r>
          </w:p>
          <w:p>
            <w:pPr>
              <w:spacing w:line="38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4.累计1-4个，得1分；</w:t>
            </w:r>
          </w:p>
          <w:p>
            <w:pPr>
              <w:shd w:val="clear" w:color="auto" w:fill="FFFFFF"/>
              <w:spacing w:line="380" w:lineRule="exact"/>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pPr>
            <w: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t>5.</w:t>
            </w: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其他情况不得分。</w:t>
            </w:r>
          </w:p>
          <w:p>
            <w:pPr>
              <w:adjustRightInd w:val="0"/>
              <w:snapToGrid w:val="0"/>
              <w:spacing w:line="380" w:lineRule="exact"/>
              <w:jc w:val="left"/>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（二）评分依据：</w:t>
            </w:r>
          </w:p>
          <w:p>
            <w:pPr>
              <w:spacing w:line="38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1.需提供与海外机构签署的合作协议复印件并加盖投标人公章。</w:t>
            </w:r>
          </w:p>
          <w:p>
            <w:pPr>
              <w:spacing w:line="380" w:lineRule="exact"/>
              <w:jc w:val="lef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2.未提供证明资料或未按要求提供资料的或提供的材料评审人员认为无法判断的均不得分。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Merge w:val="continue"/>
            <w:shd w:val="clear" w:color="auto" w:fill="auto"/>
            <w:vAlign w:val="center"/>
          </w:tcPr>
          <w:p>
            <w:pPr>
              <w:spacing w:line="360" w:lineRule="auto"/>
              <w:jc w:val="center"/>
              <w:outlineLvl w:val="0"/>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p>
        </w:tc>
        <w:tc>
          <w:tcPr>
            <w:tcW w:w="455" w:type="dxa"/>
            <w:shd w:val="clear" w:color="auto" w:fill="auto"/>
            <w:vAlign w:val="center"/>
          </w:tcPr>
          <w:p>
            <w:pPr>
              <w:spacing w:line="360" w:lineRule="auto"/>
              <w:jc w:val="cente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4</w:t>
            </w:r>
          </w:p>
        </w:tc>
        <w:tc>
          <w:tcPr>
            <w:tcW w:w="1537" w:type="dxa"/>
            <w:shd w:val="clear" w:color="auto" w:fill="auto"/>
            <w:vAlign w:val="center"/>
          </w:tcPr>
          <w:p>
            <w:pPr>
              <w:spacing w:line="380" w:lineRule="exact"/>
              <w:jc w:val="cente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国际赛事承办情况</w:t>
            </w:r>
          </w:p>
        </w:tc>
        <w:tc>
          <w:tcPr>
            <w:tcW w:w="1185" w:type="dxa"/>
            <w:shd w:val="clear" w:color="auto" w:fill="auto"/>
            <w:vAlign w:val="center"/>
          </w:tcPr>
          <w:p>
            <w:pPr>
              <w:spacing w:line="360" w:lineRule="auto"/>
              <w:jc w:val="cente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15</w:t>
            </w:r>
          </w:p>
        </w:tc>
        <w:tc>
          <w:tcPr>
            <w:tcW w:w="5105" w:type="dxa"/>
            <w:shd w:val="clear" w:color="auto" w:fill="auto"/>
            <w:vAlign w:val="center"/>
          </w:tcPr>
          <w:p>
            <w:pPr>
              <w:spacing w:line="380" w:lineRule="exact"/>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（一）评分标准：</w:t>
            </w:r>
          </w:p>
          <w:p>
            <w:pPr>
              <w:spacing w:line="38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截至本项目投标截止之日，</w:t>
            </w:r>
          </w:p>
          <w:p>
            <w:pPr>
              <w:spacing w:line="38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1.累计承办过国际性创赛赛事10场及以上，且每场赛事累计征集100个及以上有效项目，得15分；</w:t>
            </w:r>
          </w:p>
          <w:p>
            <w:pPr>
              <w:spacing w:line="38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2.累计承办过国际性创赛赛事6-9场，且每场赛事累计征集90个及以</w:t>
            </w:r>
            <w:bookmarkStart w:id="3" w:name="_GoBack"/>
            <w:bookmarkEnd w:id="3"/>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上有效项目，得10分；</w:t>
            </w:r>
          </w:p>
          <w:p>
            <w:pPr>
              <w:spacing w:line="38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3.累计承办过国际性创赛赛事1-5场，且每场赛事累计征集80个及以上有效项目，得5分；</w:t>
            </w:r>
          </w:p>
          <w:p>
            <w:pPr>
              <w:spacing w:line="380" w:lineRule="exact"/>
              <w:jc w:val="left"/>
              <w:rPr>
                <w:rFonts w:hint="default"/>
                <w:highlight w:val="none"/>
                <w:lang w:val="en-US" w:eastAsia="zh-CN"/>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4.其他情况不得分。</w:t>
            </w:r>
          </w:p>
          <w:p>
            <w:pPr>
              <w:spacing w:line="380" w:lineRule="exact"/>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（二）评分依据：</w:t>
            </w:r>
          </w:p>
          <w:p>
            <w:pPr>
              <w:spacing w:line="38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需提供相关项目合同关键页复印件等证明资料并加盖投标人公章。</w:t>
            </w:r>
          </w:p>
          <w:p>
            <w:pPr>
              <w:spacing w:line="380" w:lineRule="exact"/>
              <w:rPr>
                <w:rFonts w:hint="default"/>
                <w:highlight w:val="none"/>
                <w:lang w:val="en-US" w:eastAsia="zh-CN"/>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（合同关键页信息包括但不限于：注明主办方、承办方、赛事时间、含签订合同双方的落款盖章、签订日期），</w:t>
            </w:r>
            <w:r>
              <w:rPr>
                <w:rFonts w:hint="eastAsia" w:ascii="仿宋_GB2312" w:hAnsi="仿宋_GB2312" w:eastAsia="仿宋_GB2312" w:cs="仿宋_GB2312"/>
                <w:b/>
                <w:bCs/>
                <w:i w:val="0"/>
                <w:caps w:val="0"/>
                <w:color w:val="000000"/>
                <w:spacing w:val="0"/>
                <w:kern w:val="0"/>
                <w:sz w:val="28"/>
                <w:szCs w:val="28"/>
                <w:highlight w:val="none"/>
                <w:lang w:val="en-US" w:eastAsia="zh-CN" w:bidi="ar"/>
              </w:rPr>
              <w:t>通过合同关键信息无法判断是否得分的，还须需同时提供能证明得分的其它证明资料</w:t>
            </w: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，如项目报告、合同甲方出具的证明文件或新闻报道截图等。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shd w:val="clear" w:color="auto" w:fill="auto"/>
            <w:vAlign w:val="center"/>
          </w:tcPr>
          <w:p>
            <w:pPr>
              <w:spacing w:line="360" w:lineRule="auto"/>
              <w:jc w:val="center"/>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三</w:t>
            </w:r>
          </w:p>
        </w:tc>
        <w:tc>
          <w:tcPr>
            <w:tcW w:w="3177" w:type="dxa"/>
            <w:gridSpan w:val="3"/>
            <w:shd w:val="clear" w:color="auto" w:fill="auto"/>
            <w:vAlign w:val="center"/>
          </w:tcPr>
          <w:p>
            <w:pPr>
              <w:spacing w:line="360" w:lineRule="auto"/>
              <w:jc w:val="center"/>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商务需求</w:t>
            </w:r>
          </w:p>
        </w:tc>
        <w:tc>
          <w:tcPr>
            <w:tcW w:w="5105" w:type="dxa"/>
            <w:shd w:val="clear" w:color="auto" w:fill="auto"/>
            <w:vAlign w:val="center"/>
          </w:tcPr>
          <w:p>
            <w:pPr>
              <w:spacing w:line="360" w:lineRule="auto"/>
              <w:jc w:val="center"/>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Merge w:val="restart"/>
            <w:shd w:val="clear" w:color="auto" w:fill="auto"/>
            <w:vAlign w:val="center"/>
          </w:tcPr>
          <w:p>
            <w:pPr>
              <w:spacing w:line="360" w:lineRule="auto"/>
              <w:jc w:val="center"/>
              <w:outlineLvl w:val="0"/>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p>
        </w:tc>
        <w:tc>
          <w:tcPr>
            <w:tcW w:w="455" w:type="dxa"/>
            <w:shd w:val="clear" w:color="auto" w:fill="auto"/>
            <w:vAlign w:val="center"/>
          </w:tcPr>
          <w:p>
            <w:pPr>
              <w:spacing w:line="360" w:lineRule="auto"/>
              <w:jc w:val="center"/>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序号</w:t>
            </w:r>
          </w:p>
        </w:tc>
        <w:tc>
          <w:tcPr>
            <w:tcW w:w="1537" w:type="dxa"/>
            <w:shd w:val="clear" w:color="auto" w:fill="auto"/>
            <w:vAlign w:val="center"/>
          </w:tcPr>
          <w:p>
            <w:pPr>
              <w:spacing w:line="360" w:lineRule="auto"/>
              <w:jc w:val="center"/>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评分因素</w:t>
            </w:r>
          </w:p>
        </w:tc>
        <w:tc>
          <w:tcPr>
            <w:tcW w:w="1185" w:type="dxa"/>
            <w:shd w:val="clear" w:color="auto" w:fill="auto"/>
            <w:vAlign w:val="center"/>
          </w:tcPr>
          <w:p>
            <w:pPr>
              <w:spacing w:line="360" w:lineRule="auto"/>
              <w:jc w:val="center"/>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权重</w:t>
            </w:r>
          </w:p>
        </w:tc>
        <w:tc>
          <w:tcPr>
            <w:tcW w:w="5105" w:type="dxa"/>
            <w:shd w:val="clear" w:color="auto" w:fill="auto"/>
            <w:vAlign w:val="center"/>
          </w:tcPr>
          <w:p>
            <w:pPr>
              <w:spacing w:line="360" w:lineRule="auto"/>
              <w:jc w:val="center"/>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Merge w:val="continue"/>
            <w:shd w:val="clear" w:color="auto" w:fill="auto"/>
            <w:vAlign w:val="center"/>
          </w:tcPr>
          <w:p>
            <w:pPr>
              <w:spacing w:line="360" w:lineRule="auto"/>
              <w:jc w:val="center"/>
              <w:outlineLvl w:val="0"/>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p>
        </w:tc>
        <w:tc>
          <w:tcPr>
            <w:tcW w:w="455" w:type="dxa"/>
            <w:shd w:val="clear" w:color="auto" w:fill="auto"/>
            <w:vAlign w:val="center"/>
          </w:tcPr>
          <w:p>
            <w:pPr>
              <w:spacing w:line="360" w:lineRule="auto"/>
              <w:jc w:val="cente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1</w:t>
            </w:r>
          </w:p>
        </w:tc>
        <w:tc>
          <w:tcPr>
            <w:tcW w:w="1537" w:type="dxa"/>
            <w:shd w:val="clear" w:color="auto" w:fill="auto"/>
            <w:vAlign w:val="center"/>
          </w:tcPr>
          <w:p>
            <w:pPr>
              <w:spacing w:line="360" w:lineRule="auto"/>
              <w:jc w:val="cente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征集的参赛项目晋级获奖情况</w:t>
            </w:r>
          </w:p>
        </w:tc>
        <w:tc>
          <w:tcPr>
            <w:tcW w:w="1185" w:type="dxa"/>
            <w:shd w:val="clear" w:color="auto" w:fill="auto"/>
            <w:vAlign w:val="center"/>
          </w:tcPr>
          <w:p>
            <w:pPr>
              <w:spacing w:line="360" w:lineRule="auto"/>
              <w:jc w:val="cente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15</w:t>
            </w:r>
          </w:p>
        </w:tc>
        <w:tc>
          <w:tcPr>
            <w:tcW w:w="5105" w:type="dxa"/>
            <w:shd w:val="clear" w:color="auto" w:fill="auto"/>
            <w:vAlign w:val="center"/>
          </w:tcPr>
          <w:p>
            <w:pPr>
              <w:adjustRightInd w:val="0"/>
              <w:snapToGrid w:val="0"/>
              <w:spacing w:line="380" w:lineRule="exact"/>
              <w:jc w:val="left"/>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（一）评分内容：</w:t>
            </w:r>
          </w:p>
          <w:p>
            <w:pPr>
              <w:pStyle w:val="2"/>
              <w:spacing w:line="38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bookmarkStart w:id="1" w:name="OLE_LINK9"/>
            <w:bookmarkStart w:id="2" w:name="OLE_LINK10"/>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截至本项目投标截止之日，</w:t>
            </w:r>
            <w:bookmarkEnd w:id="1"/>
            <w:bookmarkEnd w:id="2"/>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投标人在承办过的国际性创赛赛事中，所征集的参赛项目晋级市级及以上总决赛并获得一等奖、二等奖、三等奖累计数量：</w:t>
            </w:r>
          </w:p>
          <w:p>
            <w:pPr>
              <w:pStyle w:val="10"/>
              <w:spacing w:after="0" w:line="380" w:lineRule="exact"/>
              <w:ind w:firstLine="0" w:firstLineChars="0"/>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1.15个及以上，得15分；</w:t>
            </w:r>
          </w:p>
          <w:p>
            <w:pPr>
              <w:pStyle w:val="10"/>
              <w:spacing w:after="0" w:line="380" w:lineRule="exact"/>
              <w:ind w:firstLine="0" w:firstLineChars="0"/>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2.11-14个，得11分</w:t>
            </w:r>
          </w:p>
          <w:p>
            <w:pPr>
              <w:pStyle w:val="10"/>
              <w:spacing w:after="0" w:line="380" w:lineRule="exact"/>
              <w:ind w:firstLine="0" w:firstLineChars="0"/>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3. 6-10个，得7分；</w:t>
            </w:r>
          </w:p>
          <w:p>
            <w:pPr>
              <w:pStyle w:val="10"/>
              <w:spacing w:after="0" w:line="380" w:lineRule="exact"/>
              <w:ind w:firstLine="0" w:firstLineChars="0"/>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4.1-5个，得3分；</w:t>
            </w:r>
          </w:p>
          <w:p>
            <w:pPr>
              <w:pStyle w:val="10"/>
              <w:spacing w:after="0" w:line="380" w:lineRule="exact"/>
              <w:ind w:firstLine="0" w:firstLineChars="0"/>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5.无获奖情况，该项不得分。</w:t>
            </w:r>
          </w:p>
          <w:p>
            <w:pPr>
              <w:adjustRightInd w:val="0"/>
              <w:snapToGrid w:val="0"/>
              <w:spacing w:line="380" w:lineRule="exact"/>
              <w:jc w:val="left"/>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（二）评分依据:</w:t>
            </w:r>
          </w:p>
          <w:p>
            <w:pPr>
              <w:spacing w:line="38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1</w:t>
            </w:r>
            <w: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t>.</w:t>
            </w: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投标人需提供媒体报道获奖信息截图或赛事现场活动图片/照片。</w:t>
            </w:r>
          </w:p>
          <w:p>
            <w:pPr>
              <w:spacing w:line="38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2.投标人和主办单位签署的关于承办国际赛事的合同关键页【服务内容页、签字盖章页（甲方公章或业务章）、签订时间页】复印件，通过合同关键信息无法判断是否得分的，还需同时提供合同甲方出具的证明文件。</w:t>
            </w:r>
          </w:p>
          <w:p>
            <w:pPr>
              <w:tabs>
                <w:tab w:val="left" w:pos="312"/>
              </w:tabs>
              <w:spacing w:line="38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3.未提供证明资料或未按要求提供资料的或提供的材料专家认为无法判断的均不得分。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Merge w:val="continue"/>
            <w:shd w:val="clear" w:color="auto" w:fill="auto"/>
            <w:vAlign w:val="center"/>
          </w:tcPr>
          <w:p>
            <w:pPr>
              <w:spacing w:line="360" w:lineRule="auto"/>
              <w:jc w:val="center"/>
              <w:outlineLvl w:val="0"/>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p>
        </w:tc>
        <w:tc>
          <w:tcPr>
            <w:tcW w:w="455" w:type="dxa"/>
            <w:shd w:val="clear" w:color="auto" w:fill="auto"/>
            <w:vAlign w:val="center"/>
          </w:tcPr>
          <w:p>
            <w:pPr>
              <w:spacing w:line="360" w:lineRule="auto"/>
              <w:jc w:val="cente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t>2</w:t>
            </w:r>
          </w:p>
        </w:tc>
        <w:tc>
          <w:tcPr>
            <w:tcW w:w="1537" w:type="dxa"/>
            <w:shd w:val="clear" w:color="auto" w:fill="auto"/>
            <w:vAlign w:val="center"/>
          </w:tcPr>
          <w:p>
            <w:pPr>
              <w:spacing w:line="360" w:lineRule="auto"/>
              <w:jc w:val="cente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项目团队</w:t>
            </w:r>
          </w:p>
        </w:tc>
        <w:tc>
          <w:tcPr>
            <w:tcW w:w="1185" w:type="dxa"/>
            <w:shd w:val="clear" w:color="auto" w:fill="auto"/>
            <w:vAlign w:val="center"/>
          </w:tcPr>
          <w:p>
            <w:pPr>
              <w:spacing w:line="360" w:lineRule="auto"/>
              <w:jc w:val="cente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15</w:t>
            </w:r>
          </w:p>
        </w:tc>
        <w:tc>
          <w:tcPr>
            <w:tcW w:w="5105" w:type="dxa"/>
            <w:shd w:val="clear" w:color="auto" w:fill="auto"/>
            <w:vAlign w:val="center"/>
          </w:tcPr>
          <w:p>
            <w:pPr>
              <w:spacing w:line="380" w:lineRule="exact"/>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(一)、评分内容：</w:t>
            </w:r>
          </w:p>
          <w:p>
            <w:pPr>
              <w:spacing w:line="38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对投标人提供的核心团队配备人员情况进行评分，其中：</w:t>
            </w:r>
          </w:p>
          <w:p>
            <w:pPr>
              <w:spacing w:line="380" w:lineRule="exact"/>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（1）项目核心团队人数：</w:t>
            </w:r>
          </w:p>
          <w:p>
            <w:pPr>
              <w:spacing w:line="38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1.项目核心团队（含国内及海外）配备8人及以上，得10分；</w:t>
            </w:r>
          </w:p>
          <w:p>
            <w:pPr>
              <w:spacing w:line="38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2.项目核心团队（含国内及海外）配备5-7人，得6分；</w:t>
            </w:r>
          </w:p>
          <w:p>
            <w:pPr>
              <w:spacing w:line="38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3.项目核心团队（含国内及海外）配备</w:t>
            </w:r>
            <w: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t>2</w:t>
            </w: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-4人，得2分；</w:t>
            </w:r>
          </w:p>
          <w:p>
            <w:pPr>
              <w:spacing w:line="38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4.项目核心团队（含国内及海外）配备</w:t>
            </w:r>
            <w: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t>1</w:t>
            </w: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人及以下的，该项不得分。</w:t>
            </w:r>
          </w:p>
          <w:p>
            <w:pPr>
              <w:spacing w:line="380" w:lineRule="exact"/>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（2）项目核心团队学历：</w:t>
            </w:r>
          </w:p>
          <w:p>
            <w:pPr>
              <w:spacing w:line="38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1.项目核心团队（含国内及海外）有5名及以上工作人员具备研究生及以上学历的，得5分；</w:t>
            </w:r>
          </w:p>
          <w:p>
            <w:pPr>
              <w:spacing w:line="38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2.项目核心团队（含国内及海外）有4名工作人员具备研究生及以上学历的，得4分；</w:t>
            </w:r>
          </w:p>
          <w:p>
            <w:pPr>
              <w:spacing w:line="380" w:lineRule="exact"/>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3.项目核心团队（含国内及海外）有3名工作人员具备研究生及以上学历的，得3分；</w:t>
            </w:r>
          </w:p>
          <w:p>
            <w:pPr>
              <w:spacing w:line="38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4.项目核心团队（含国内及海外）有</w:t>
            </w:r>
            <w: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t>1</w:t>
            </w: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-2名工作人员具备研究生及以上学历的，得1分；</w:t>
            </w:r>
          </w:p>
          <w:p>
            <w:pPr>
              <w:spacing w:line="38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5.不满足以上要求的，该项不得分。</w:t>
            </w:r>
          </w:p>
          <w:p>
            <w:pPr>
              <w:spacing w:line="380" w:lineRule="exact"/>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（二）评分依据：</w:t>
            </w:r>
          </w:p>
          <w:p>
            <w:pPr>
              <w:spacing w:line="38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1.需提供项目核心团队（含国内及海外）人员名单及配备承诺函（格式自拟）。</w:t>
            </w: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br w:type="textWrapping"/>
            </w: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2.每个团队成员须提供近1个月社保证明文件或劳动合同或近1个月银行代发工资记录作为本单位员工的证明依据。</w:t>
            </w:r>
          </w:p>
          <w:p>
            <w:pPr>
              <w:spacing w:line="38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3.须提供人员学历证书以及学信网查询记录，学信网无法查询的，可提供其他佐证材料:如毕业院校、人社部门等颁发机构或监管机构等单位出具的证明；留学归国人员境外获得学历、学位证书，如无法提供学信网查询记录截图，提供国（境）外学历证书复印件和教育部留学服务中心出具的国外学历认证书复印件【或教育部留学服务中心网站（http://zwfw.cscse.edu.cn/）在线查询截图】也予以认可。 海外团队成员中如不属于归国人员的，同时提供国（境）外学历证书复印件及证书持有人有效的境外居留证件（包括但不限于身份证明文件、绿卡、工签等）复印件，不需学历认证。</w:t>
            </w:r>
          </w:p>
          <w:p>
            <w:pPr>
              <w:spacing w:line="38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4.以上资料均要求提供复印件。评分中出现无证明资料或专家无法凭所提供资料判断是否得分的情况，一律作不得分处理。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spacing w:line="360" w:lineRule="auto"/>
              <w:jc w:val="center"/>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四</w:t>
            </w:r>
          </w:p>
        </w:tc>
        <w:tc>
          <w:tcPr>
            <w:tcW w:w="3177" w:type="dxa"/>
            <w:gridSpan w:val="3"/>
            <w:vAlign w:val="center"/>
          </w:tcPr>
          <w:p>
            <w:pPr>
              <w:spacing w:line="360" w:lineRule="auto"/>
              <w:jc w:val="center"/>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诚信情况</w:t>
            </w:r>
          </w:p>
        </w:tc>
        <w:tc>
          <w:tcPr>
            <w:tcW w:w="5105" w:type="dxa"/>
            <w:vAlign w:val="center"/>
          </w:tcPr>
          <w:p>
            <w:pPr>
              <w:pStyle w:val="7"/>
              <w:pBdr>
                <w:bottom w:val="none" w:color="auto" w:sz="0" w:space="0"/>
              </w:pBdr>
              <w:tabs>
                <w:tab w:val="clear" w:pos="4153"/>
                <w:tab w:val="clear" w:pos="8306"/>
              </w:tabs>
              <w:adjustRightInd/>
              <w:spacing w:line="420" w:lineRule="exact"/>
              <w:textAlignment w:val="auto"/>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Merge w:val="restart"/>
            <w:vAlign w:val="center"/>
          </w:tcPr>
          <w:p>
            <w:pPr>
              <w:spacing w:line="360" w:lineRule="auto"/>
              <w:jc w:val="cente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p>
        </w:tc>
        <w:tc>
          <w:tcPr>
            <w:tcW w:w="455" w:type="dxa"/>
            <w:vAlign w:val="center"/>
          </w:tcPr>
          <w:p>
            <w:pPr>
              <w:spacing w:line="360" w:lineRule="auto"/>
              <w:jc w:val="center"/>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序号</w:t>
            </w:r>
          </w:p>
        </w:tc>
        <w:tc>
          <w:tcPr>
            <w:tcW w:w="1537" w:type="dxa"/>
            <w:vAlign w:val="center"/>
          </w:tcPr>
          <w:p>
            <w:pPr>
              <w:spacing w:line="360" w:lineRule="auto"/>
              <w:jc w:val="center"/>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评分因素</w:t>
            </w:r>
          </w:p>
        </w:tc>
        <w:tc>
          <w:tcPr>
            <w:tcW w:w="1185" w:type="dxa"/>
            <w:vAlign w:val="center"/>
          </w:tcPr>
          <w:p>
            <w:pPr>
              <w:spacing w:line="360" w:lineRule="auto"/>
              <w:jc w:val="center"/>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权重</w:t>
            </w:r>
          </w:p>
        </w:tc>
        <w:tc>
          <w:tcPr>
            <w:tcW w:w="5105" w:type="dxa"/>
            <w:vAlign w:val="center"/>
          </w:tcPr>
          <w:p>
            <w:pPr>
              <w:spacing w:line="420" w:lineRule="exact"/>
              <w:jc w:val="center"/>
              <w:rPr>
                <w:rFonts w:hint="default" w:ascii="仿宋_GB2312" w:hAnsi="仿宋_GB2312" w:eastAsia="仿宋_GB2312" w:cs="仿宋_GB2312"/>
                <w:b/>
                <w:bCs/>
                <w:i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caps w:val="0"/>
                <w:color w:val="000000"/>
                <w:spacing w:val="0"/>
                <w:kern w:val="0"/>
                <w:sz w:val="28"/>
                <w:szCs w:val="28"/>
                <w:highlight w:val="none"/>
                <w:lang w:val="en-US" w:eastAsia="zh-CN" w:bidi="ar"/>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Merge w:val="continue"/>
            <w:vAlign w:val="center"/>
          </w:tcPr>
          <w:p>
            <w:pPr>
              <w:spacing w:line="360" w:lineRule="auto"/>
              <w:jc w:val="center"/>
              <w:outlineLvl w:val="0"/>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p>
        </w:tc>
        <w:tc>
          <w:tcPr>
            <w:tcW w:w="455" w:type="dxa"/>
            <w:vAlign w:val="center"/>
          </w:tcPr>
          <w:p>
            <w:pPr>
              <w:spacing w:line="360" w:lineRule="auto"/>
              <w:jc w:val="cente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1</w:t>
            </w:r>
          </w:p>
        </w:tc>
        <w:tc>
          <w:tcPr>
            <w:tcW w:w="1537" w:type="dxa"/>
            <w:vAlign w:val="center"/>
          </w:tcPr>
          <w:p>
            <w:pPr>
              <w:spacing w:line="360" w:lineRule="auto"/>
              <w:jc w:val="cente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诚信</w:t>
            </w:r>
          </w:p>
        </w:tc>
        <w:tc>
          <w:tcPr>
            <w:tcW w:w="1185" w:type="dxa"/>
            <w:vAlign w:val="center"/>
          </w:tcPr>
          <w:p>
            <w:pPr>
              <w:spacing w:line="360" w:lineRule="auto"/>
              <w:jc w:val="cente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5</w:t>
            </w:r>
          </w:p>
        </w:tc>
        <w:tc>
          <w:tcPr>
            <w:tcW w:w="5105" w:type="dxa"/>
          </w:tcPr>
          <w:p>
            <w:pPr>
              <w:spacing w:line="42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根据《深圳市财政局关于印发</w:t>
            </w:r>
            <w: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t>&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5</w:t>
            </w:r>
            <w: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t>分。</w:t>
            </w:r>
          </w:p>
          <w:p>
            <w:pPr>
              <w:pStyle w:val="5"/>
              <w:spacing w:line="420" w:lineRule="exact"/>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pP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（采购机构通过“信用中国”（</w:t>
            </w:r>
            <w: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t>www.creditchina.gov.cn）、“中国政府采购网”（www.ccgp.gov.cn）、“深圳市政府采购监管网”（http://zfcg.sz.gov.cn）以及市、区财政部门认定的其他渠道查询供应商信用信息，具体以</w:t>
            </w:r>
            <w:r>
              <w:rPr>
                <w:rFonts w:hint="eastAsia" w:ascii="仿宋_GB2312" w:hAnsi="仿宋_GB2312" w:eastAsia="仿宋_GB2312" w:cs="仿宋_GB2312"/>
                <w:b w:val="0"/>
                <w:bCs w:val="0"/>
                <w:i w:val="0"/>
                <w:caps w:val="0"/>
                <w:color w:val="000000"/>
                <w:spacing w:val="0"/>
                <w:kern w:val="0"/>
                <w:sz w:val="28"/>
                <w:szCs w:val="28"/>
                <w:highlight w:val="none"/>
                <w:lang w:val="en-US" w:eastAsia="zh-CN" w:bidi="ar"/>
              </w:rPr>
              <w:t>评审</w:t>
            </w:r>
            <w:r>
              <w:rPr>
                <w:rFonts w:hint="default" w:ascii="仿宋_GB2312" w:hAnsi="仿宋_GB2312" w:eastAsia="仿宋_GB2312" w:cs="仿宋_GB2312"/>
                <w:b w:val="0"/>
                <w:bCs w:val="0"/>
                <w:i w:val="0"/>
                <w:caps w:val="0"/>
                <w:color w:val="000000"/>
                <w:spacing w:val="0"/>
                <w:kern w:val="0"/>
                <w:sz w:val="28"/>
                <w:szCs w:val="28"/>
                <w:highlight w:val="none"/>
                <w:lang w:val="en-US" w:eastAsia="zh-CN" w:bidi="ar"/>
              </w:rPr>
              <w:t>当日上述渠道的全部查询结果为准，投标人无需提供证明材料。）</w:t>
            </w:r>
          </w:p>
        </w:tc>
      </w:tr>
      <w:bookmarkEnd w:id="0"/>
    </w:tbl>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left"/>
        <w:textAlignment w:val="auto"/>
        <w:rPr>
          <w:rFonts w:hint="eastAsia" w:ascii="仿宋_GB2312" w:hAnsi="仿宋_GB2312" w:eastAsia="仿宋_GB2312" w:cs="仿宋_GB2312"/>
          <w:b w:val="0"/>
          <w:bCs w:val="0"/>
          <w:i w:val="0"/>
          <w:caps w:val="0"/>
          <w:color w:val="000000"/>
          <w:spacing w:val="0"/>
          <w:kern w:val="0"/>
          <w:sz w:val="28"/>
          <w:szCs w:val="28"/>
          <w:lang w:val="en-US" w:eastAsia="zh-CN" w:bidi="ar"/>
        </w:rPr>
      </w:pPr>
      <w:r>
        <w:rPr>
          <w:rFonts w:hint="eastAsia" w:ascii="仿宋_GB2312" w:hAnsi="仿宋_GB2312" w:eastAsia="仿宋_GB2312" w:cs="仿宋_GB2312"/>
          <w:b w:val="0"/>
          <w:bCs w:val="0"/>
          <w:i w:val="0"/>
          <w:caps w:val="0"/>
          <w:color w:val="000000"/>
          <w:spacing w:val="0"/>
          <w:kern w:val="0"/>
          <w:sz w:val="28"/>
          <w:szCs w:val="28"/>
          <w:lang w:val="en-US" w:eastAsia="zh-CN" w:bidi="ar"/>
        </w:rPr>
        <w:t>说明：1.本评分表中每一栏的得分最高不得超过该项评审指标的分值。2.表中要求提供相关计分证明文件的内容，投标文件中须明确加以说明，未按要求提供相关文件或说明不清楚的按不符合要求处理。</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both"/>
        <w:textAlignment w:val="auto"/>
        <w:rPr>
          <w:sz w:val="28"/>
          <w:szCs w:val="28"/>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35CC"/>
    <w:rsid w:val="00BFD6BF"/>
    <w:rsid w:val="00DE29F2"/>
    <w:rsid w:val="015928B6"/>
    <w:rsid w:val="01850CBC"/>
    <w:rsid w:val="0225600D"/>
    <w:rsid w:val="02E0586A"/>
    <w:rsid w:val="03316615"/>
    <w:rsid w:val="040E6F04"/>
    <w:rsid w:val="045B4ACE"/>
    <w:rsid w:val="049F687A"/>
    <w:rsid w:val="04A1798B"/>
    <w:rsid w:val="04CB3E55"/>
    <w:rsid w:val="04E20AB8"/>
    <w:rsid w:val="0677053B"/>
    <w:rsid w:val="07393E15"/>
    <w:rsid w:val="07776CCA"/>
    <w:rsid w:val="07EF0823"/>
    <w:rsid w:val="08625B52"/>
    <w:rsid w:val="08710304"/>
    <w:rsid w:val="0923679C"/>
    <w:rsid w:val="097656D1"/>
    <w:rsid w:val="0A8B3EAB"/>
    <w:rsid w:val="0A994110"/>
    <w:rsid w:val="0BD104DC"/>
    <w:rsid w:val="0C0976C1"/>
    <w:rsid w:val="0C5047EE"/>
    <w:rsid w:val="0C772F7F"/>
    <w:rsid w:val="0C9C20F3"/>
    <w:rsid w:val="0CD64DF4"/>
    <w:rsid w:val="0F1D6030"/>
    <w:rsid w:val="0F6A7B1B"/>
    <w:rsid w:val="0FA90579"/>
    <w:rsid w:val="0FB833D0"/>
    <w:rsid w:val="10F42CA0"/>
    <w:rsid w:val="11746C5A"/>
    <w:rsid w:val="11D36D5A"/>
    <w:rsid w:val="12116A59"/>
    <w:rsid w:val="132E0129"/>
    <w:rsid w:val="13A01AB6"/>
    <w:rsid w:val="13BD01B1"/>
    <w:rsid w:val="13DC40EB"/>
    <w:rsid w:val="13DE58AF"/>
    <w:rsid w:val="14224F13"/>
    <w:rsid w:val="14390FC1"/>
    <w:rsid w:val="14E91FD2"/>
    <w:rsid w:val="153D069E"/>
    <w:rsid w:val="17E9301A"/>
    <w:rsid w:val="199C047C"/>
    <w:rsid w:val="1A203115"/>
    <w:rsid w:val="1ADD5DD7"/>
    <w:rsid w:val="1C8000BC"/>
    <w:rsid w:val="1E57684E"/>
    <w:rsid w:val="1E997593"/>
    <w:rsid w:val="1EF9A188"/>
    <w:rsid w:val="20012743"/>
    <w:rsid w:val="20203D53"/>
    <w:rsid w:val="20697A3C"/>
    <w:rsid w:val="21637953"/>
    <w:rsid w:val="22A56445"/>
    <w:rsid w:val="24B23891"/>
    <w:rsid w:val="25661450"/>
    <w:rsid w:val="25A05AF1"/>
    <w:rsid w:val="25B90C7C"/>
    <w:rsid w:val="27C311E5"/>
    <w:rsid w:val="27D968A6"/>
    <w:rsid w:val="29146704"/>
    <w:rsid w:val="29627D0B"/>
    <w:rsid w:val="29A455CA"/>
    <w:rsid w:val="29A63F05"/>
    <w:rsid w:val="29C07716"/>
    <w:rsid w:val="29D9397E"/>
    <w:rsid w:val="2A5E7CDA"/>
    <w:rsid w:val="2A6C67B2"/>
    <w:rsid w:val="2B0F454F"/>
    <w:rsid w:val="2DEA176B"/>
    <w:rsid w:val="2E171336"/>
    <w:rsid w:val="2EC17010"/>
    <w:rsid w:val="2EC7666F"/>
    <w:rsid w:val="2F2048B1"/>
    <w:rsid w:val="2F4C700D"/>
    <w:rsid w:val="2F7F9A4A"/>
    <w:rsid w:val="307D2EBD"/>
    <w:rsid w:val="31321F62"/>
    <w:rsid w:val="31C94E76"/>
    <w:rsid w:val="338F34F8"/>
    <w:rsid w:val="33D13151"/>
    <w:rsid w:val="33DC3393"/>
    <w:rsid w:val="343000F8"/>
    <w:rsid w:val="3471583A"/>
    <w:rsid w:val="34E207CA"/>
    <w:rsid w:val="34F915CB"/>
    <w:rsid w:val="35840B34"/>
    <w:rsid w:val="35FC6BC2"/>
    <w:rsid w:val="36BD9095"/>
    <w:rsid w:val="36D43DFF"/>
    <w:rsid w:val="37B04CCA"/>
    <w:rsid w:val="37E072FC"/>
    <w:rsid w:val="38213D5E"/>
    <w:rsid w:val="3857134C"/>
    <w:rsid w:val="396547E9"/>
    <w:rsid w:val="397E1DD7"/>
    <w:rsid w:val="39B36B20"/>
    <w:rsid w:val="39FF85D4"/>
    <w:rsid w:val="3BD861B4"/>
    <w:rsid w:val="3C0440CF"/>
    <w:rsid w:val="3C1670B1"/>
    <w:rsid w:val="3CD40544"/>
    <w:rsid w:val="3CF74A34"/>
    <w:rsid w:val="3D7B53FF"/>
    <w:rsid w:val="3EBC8ABD"/>
    <w:rsid w:val="3F1C2748"/>
    <w:rsid w:val="3F4FD824"/>
    <w:rsid w:val="3F9A137A"/>
    <w:rsid w:val="3FB90CDB"/>
    <w:rsid w:val="3FED4782"/>
    <w:rsid w:val="3FEE5225"/>
    <w:rsid w:val="3FFBD2B1"/>
    <w:rsid w:val="3FFD1E2B"/>
    <w:rsid w:val="3FFEA7B6"/>
    <w:rsid w:val="3FFF4814"/>
    <w:rsid w:val="3FFF6E44"/>
    <w:rsid w:val="40475A23"/>
    <w:rsid w:val="405C51FA"/>
    <w:rsid w:val="41717486"/>
    <w:rsid w:val="42623DB4"/>
    <w:rsid w:val="43750D92"/>
    <w:rsid w:val="43CD69B0"/>
    <w:rsid w:val="46B24D37"/>
    <w:rsid w:val="47106FE8"/>
    <w:rsid w:val="471655A4"/>
    <w:rsid w:val="4751227F"/>
    <w:rsid w:val="47AF25AE"/>
    <w:rsid w:val="47D44DF4"/>
    <w:rsid w:val="48A62E03"/>
    <w:rsid w:val="48DF7CFE"/>
    <w:rsid w:val="48FB2803"/>
    <w:rsid w:val="4A8703AE"/>
    <w:rsid w:val="4B8135C3"/>
    <w:rsid w:val="4BCC21DE"/>
    <w:rsid w:val="4CFC628E"/>
    <w:rsid w:val="4D03026D"/>
    <w:rsid w:val="4D3A612D"/>
    <w:rsid w:val="4DE23FF1"/>
    <w:rsid w:val="4E59599C"/>
    <w:rsid w:val="4FF00A53"/>
    <w:rsid w:val="50250DB6"/>
    <w:rsid w:val="5041306C"/>
    <w:rsid w:val="50416D07"/>
    <w:rsid w:val="50514794"/>
    <w:rsid w:val="507C0F59"/>
    <w:rsid w:val="511A6B75"/>
    <w:rsid w:val="514D0801"/>
    <w:rsid w:val="51764762"/>
    <w:rsid w:val="54B902E3"/>
    <w:rsid w:val="559FB248"/>
    <w:rsid w:val="55C44E12"/>
    <w:rsid w:val="55C667DB"/>
    <w:rsid w:val="55E15C2F"/>
    <w:rsid w:val="56822056"/>
    <w:rsid w:val="56CE091E"/>
    <w:rsid w:val="576A3917"/>
    <w:rsid w:val="57B90F22"/>
    <w:rsid w:val="57EF66CF"/>
    <w:rsid w:val="589679B0"/>
    <w:rsid w:val="59045DAE"/>
    <w:rsid w:val="59100DE8"/>
    <w:rsid w:val="59793801"/>
    <w:rsid w:val="598469DF"/>
    <w:rsid w:val="59E63CA9"/>
    <w:rsid w:val="5A0F5412"/>
    <w:rsid w:val="5A394EF2"/>
    <w:rsid w:val="5ABEDA38"/>
    <w:rsid w:val="5AC911BF"/>
    <w:rsid w:val="5BCF179C"/>
    <w:rsid w:val="5BDD6B59"/>
    <w:rsid w:val="5C213BE9"/>
    <w:rsid w:val="5CEA1DD2"/>
    <w:rsid w:val="5EE445D9"/>
    <w:rsid w:val="5EFF3972"/>
    <w:rsid w:val="5F1736F2"/>
    <w:rsid w:val="5F8A60C4"/>
    <w:rsid w:val="5FB330EC"/>
    <w:rsid w:val="5FFAE88B"/>
    <w:rsid w:val="627812D4"/>
    <w:rsid w:val="62E82153"/>
    <w:rsid w:val="63AE58FD"/>
    <w:rsid w:val="63D273A8"/>
    <w:rsid w:val="645F178D"/>
    <w:rsid w:val="64DA4A37"/>
    <w:rsid w:val="656066B3"/>
    <w:rsid w:val="65C85E36"/>
    <w:rsid w:val="66235870"/>
    <w:rsid w:val="66273837"/>
    <w:rsid w:val="66482425"/>
    <w:rsid w:val="6885645B"/>
    <w:rsid w:val="68904EA7"/>
    <w:rsid w:val="691D3870"/>
    <w:rsid w:val="696628CE"/>
    <w:rsid w:val="69B77A00"/>
    <w:rsid w:val="69BECD60"/>
    <w:rsid w:val="69F7ADFA"/>
    <w:rsid w:val="6A4D4ADA"/>
    <w:rsid w:val="6A851C67"/>
    <w:rsid w:val="6AF76219"/>
    <w:rsid w:val="6AF80DF1"/>
    <w:rsid w:val="6B155885"/>
    <w:rsid w:val="6B494292"/>
    <w:rsid w:val="6B864430"/>
    <w:rsid w:val="6BB3100E"/>
    <w:rsid w:val="6BFDF978"/>
    <w:rsid w:val="6C5437B3"/>
    <w:rsid w:val="6CFBA927"/>
    <w:rsid w:val="6DF1224F"/>
    <w:rsid w:val="6EAE7261"/>
    <w:rsid w:val="6EE9014B"/>
    <w:rsid w:val="6F763B92"/>
    <w:rsid w:val="6F9BE7CC"/>
    <w:rsid w:val="6FBBA249"/>
    <w:rsid w:val="7111712C"/>
    <w:rsid w:val="7260229C"/>
    <w:rsid w:val="729205B9"/>
    <w:rsid w:val="72FF63A9"/>
    <w:rsid w:val="739F731B"/>
    <w:rsid w:val="73EE78D6"/>
    <w:rsid w:val="741C1DD4"/>
    <w:rsid w:val="742F5467"/>
    <w:rsid w:val="75AC2A8F"/>
    <w:rsid w:val="75CB6A10"/>
    <w:rsid w:val="761966CD"/>
    <w:rsid w:val="762E0023"/>
    <w:rsid w:val="7640292A"/>
    <w:rsid w:val="76943E2F"/>
    <w:rsid w:val="76CF3EC0"/>
    <w:rsid w:val="76FB034E"/>
    <w:rsid w:val="76FB2B4F"/>
    <w:rsid w:val="77336FA3"/>
    <w:rsid w:val="777E04C5"/>
    <w:rsid w:val="77BB8473"/>
    <w:rsid w:val="77DD5067"/>
    <w:rsid w:val="77EFCDB4"/>
    <w:rsid w:val="7853BA4D"/>
    <w:rsid w:val="78551E5B"/>
    <w:rsid w:val="787D6F96"/>
    <w:rsid w:val="787DEBC8"/>
    <w:rsid w:val="7895130D"/>
    <w:rsid w:val="78AA642F"/>
    <w:rsid w:val="790B4D70"/>
    <w:rsid w:val="792B4D76"/>
    <w:rsid w:val="798640F8"/>
    <w:rsid w:val="7AFC248A"/>
    <w:rsid w:val="7BB7FA7D"/>
    <w:rsid w:val="7BEE657F"/>
    <w:rsid w:val="7CAE86C2"/>
    <w:rsid w:val="7CF64D77"/>
    <w:rsid w:val="7CFD6B88"/>
    <w:rsid w:val="7D3172B9"/>
    <w:rsid w:val="7D7F72A7"/>
    <w:rsid w:val="7D817DB9"/>
    <w:rsid w:val="7DFA4B07"/>
    <w:rsid w:val="7E064C5A"/>
    <w:rsid w:val="7E10795E"/>
    <w:rsid w:val="7E7F455E"/>
    <w:rsid w:val="7E825E0A"/>
    <w:rsid w:val="7EE73644"/>
    <w:rsid w:val="7EF3FCEE"/>
    <w:rsid w:val="7EF53EE8"/>
    <w:rsid w:val="7F39B59F"/>
    <w:rsid w:val="7F53BE86"/>
    <w:rsid w:val="7FDDE120"/>
    <w:rsid w:val="7FDFE29C"/>
    <w:rsid w:val="884D1D8A"/>
    <w:rsid w:val="93F70B37"/>
    <w:rsid w:val="944FF80D"/>
    <w:rsid w:val="A9EFCACD"/>
    <w:rsid w:val="AFA58B40"/>
    <w:rsid w:val="B76BF9F1"/>
    <w:rsid w:val="B7CEB256"/>
    <w:rsid w:val="B9FF7AC4"/>
    <w:rsid w:val="BEFFF0A6"/>
    <w:rsid w:val="BF7F1E2E"/>
    <w:rsid w:val="BFDDD42B"/>
    <w:rsid w:val="BFF42E27"/>
    <w:rsid w:val="BFFF65D6"/>
    <w:rsid w:val="CBBE7529"/>
    <w:rsid w:val="CFFDF06E"/>
    <w:rsid w:val="D1DB252C"/>
    <w:rsid w:val="D3FF2514"/>
    <w:rsid w:val="D7BF0F08"/>
    <w:rsid w:val="DBFF52D6"/>
    <w:rsid w:val="DE77A268"/>
    <w:rsid w:val="DEBBAE9B"/>
    <w:rsid w:val="DEDFFF6D"/>
    <w:rsid w:val="DEFBD73D"/>
    <w:rsid w:val="DFB7FE48"/>
    <w:rsid w:val="DFBF54D6"/>
    <w:rsid w:val="DFDFEB2E"/>
    <w:rsid w:val="DFFB4438"/>
    <w:rsid w:val="DFFF79A9"/>
    <w:rsid w:val="E338B6A0"/>
    <w:rsid w:val="E3FE509B"/>
    <w:rsid w:val="EBEEB37C"/>
    <w:rsid w:val="EDE971F9"/>
    <w:rsid w:val="EE9ED198"/>
    <w:rsid w:val="EEBB63EC"/>
    <w:rsid w:val="EF750D0A"/>
    <w:rsid w:val="EFE3E685"/>
    <w:rsid w:val="EFFF4C1F"/>
    <w:rsid w:val="F2EC835C"/>
    <w:rsid w:val="F4EE4E47"/>
    <w:rsid w:val="F5F50F10"/>
    <w:rsid w:val="F6BD89AD"/>
    <w:rsid w:val="F6FE81FB"/>
    <w:rsid w:val="F77015F6"/>
    <w:rsid w:val="F77A78F1"/>
    <w:rsid w:val="F7F3068C"/>
    <w:rsid w:val="F9F9C049"/>
    <w:rsid w:val="FAF7C9AF"/>
    <w:rsid w:val="FBCA3BAD"/>
    <w:rsid w:val="FBE17479"/>
    <w:rsid w:val="FCD74B56"/>
    <w:rsid w:val="FD3D619D"/>
    <w:rsid w:val="FD73C538"/>
    <w:rsid w:val="FDFBD45D"/>
    <w:rsid w:val="FDFF9E4C"/>
    <w:rsid w:val="FED77716"/>
    <w:rsid w:val="FEFDE1CF"/>
    <w:rsid w:val="FFAB3661"/>
    <w:rsid w:val="FFAB7788"/>
    <w:rsid w:val="FFAF74D8"/>
    <w:rsid w:val="FFDB1050"/>
    <w:rsid w:val="FFDD241B"/>
    <w:rsid w:val="FFDE3961"/>
    <w:rsid w:val="FFE11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4">
    <w:name w:val="Normal Indent"/>
    <w:basedOn w:val="1"/>
    <w:qFormat/>
    <w:uiPriority w:val="0"/>
    <w:pPr>
      <w:ind w:firstLine="420" w:firstLineChars="200"/>
    </w:pPr>
    <w:rPr>
      <w:szCs w:val="24"/>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qFormat/>
    <w:uiPriority w:val="0"/>
    <w:rPr>
      <w:rFonts w:ascii="仿宋_GB2312" w:eastAsia="仿宋_GB2312"/>
      <w:b/>
      <w:bCs/>
      <w:spacing w:val="20"/>
      <w:sz w:val="2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2"/>
    <w:qFormat/>
    <w:uiPriority w:val="0"/>
    <w:pPr>
      <w:spacing w:after="120"/>
      <w:ind w:firstLine="420" w:firstLineChars="100"/>
    </w:pPr>
    <w:rPr>
      <w:rFonts w:ascii="Times New Roman" w:eastAsia="宋体"/>
      <w:sz w:val="21"/>
      <w:szCs w:val="24"/>
    </w:rPr>
  </w:style>
  <w:style w:type="paragraph" w:styleId="13">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2022-04-17T11:08:00Z</dcterms:created>
  <dc:creator>庄雪梅</dc:creator>
  <cp:lastModifiedBy>huawei</cp:lastModifiedBy>
  <dcterms:modified xsi:type="dcterms:W3CDTF">2025-09-05T18:04:58Z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2AEE44543E3AF5EF8D3BBA685984A067</vt:lpwstr>
  </property>
</Properties>
</file>