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黑体" w:hAnsi="黑体" w:eastAsia="黑体" w:cs="黑体"/>
          <w:b w:val="0"/>
          <w:bCs w:val="0"/>
          <w:sz w:val="32"/>
          <w:szCs w:val="32"/>
          <w:lang w:eastAsia="zh-CN"/>
        </w:rPr>
        <w:t>项目</w:t>
      </w:r>
      <w:r>
        <w:rPr>
          <w:rFonts w:hint="eastAsia" w:ascii="黑体" w:hAnsi="黑体" w:eastAsia="黑体" w:cs="黑体"/>
          <w:b w:val="0"/>
          <w:bCs w:val="0"/>
          <w:sz w:val="32"/>
          <w:szCs w:val="32"/>
        </w:rPr>
        <w:t>采购需求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福田区财政投资评审中心于2024年10月挂牌成立，具体业务是对福田区政府投资项目的预算、结算、决算进行审核，现结合我区近三年投资项目的情况，待审核的项目数量将一直保持高位，给福田财审中心带来繁重的工作量，同时在“数字政府、深圳90、智慧福田”等政策的背景下，对中心审核流程、审核时限、审核质量等提出了更高要求。因此财评中心需借助信息化手段，建设财政投资项目审核信息管理系统，可以有效解决当前业务管理面临的问题。系统将为福田区财政投资评审中心以及项目申报单位、项目评审小组、项目协审单位提供标准、高效、规范的服务，各用户主体在系统协作配合，可助力项目评审业务更加“科学、高效、公正”。</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为加快落实福田区财政投资业务管理系统开发建设工作，中心拟采购系统开发公司，完成系统开发、数据库采购等工作，具体如下：</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一）系统开发。开发内容共包含八大模块，分别为“申报端/协审端管理、工作台管理、项目受理管理、项目评审管理、协审复审管理、统计分析、系统管理、接口管理”系统建设。明细如下：（1）申报端/协审端管理：建设单位项目的“新建、查看、编辑、提交、受理通知、资料补交、初审结果告知、征求意见反馈、审核报告、发函”；协审单位的“查看、发函、承诺书、审核”；（2）工作台管理：我的工作台、我的待办、我的已办；（3）项目受理管理：资料接受、项目分配、项目受理；（4）项目评审管理：正式评审、征求意见、审核业务会议、变更审核、报告审批、报告办结、项目查询、函件管理；（5）协审复审管理：协审单位信息管理、评价指标维护、协审费用公示维护、复核协审评价及验收管理、复核协审费用及审核管理；（6）统计分析：统计分析图、分析分析表；（7）系统管理：部门管理、用户管理、角色管理、模块管理、数据字典、建设单位管理；（8）接口管理：与福田区OA系统集成，支持单点登录访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（二）采购系统数据库软件，品牌为达梦数据库，数量为2套。</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（三）系统开发验收完成后运行维护工作。</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val="en-US" w:eastAsia="zh-CN"/>
        </w:rPr>
      </w:pPr>
      <w:r>
        <w:rPr>
          <w:rFonts w:hint="eastAsia" w:ascii="黑体" w:hAnsi="黑体" w:eastAsia="黑体" w:cs="黑体"/>
          <w:b w:val="0"/>
          <w:bCs/>
          <w:color w:val="auto"/>
          <w:sz w:val="28"/>
          <w:szCs w:val="28"/>
        </w:rPr>
        <w:t>二、项目管理和服务要求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default" w:ascii="仿宋_GB2312" w:eastAsia="仿宋_GB2312"/>
          <w:b w:val="0"/>
          <w:bCs/>
          <w:color w:val="auto"/>
          <w:sz w:val="28"/>
          <w:szCs w:val="28"/>
          <w:lang w:val="en-US"/>
        </w:rPr>
      </w:pPr>
      <w:r>
        <w:rPr>
          <w:rFonts w:hint="eastAsia" w:ascii="仿宋_GB2312" w:eastAsia="仿宋_GB2312"/>
          <w:b w:val="0"/>
          <w:bCs/>
          <w:color w:val="auto"/>
          <w:sz w:val="28"/>
          <w:szCs w:val="28"/>
          <w:lang w:val="en-US" w:eastAsia="zh-CN"/>
        </w:rPr>
        <w:t>按财评中心要求完成系统建设工作，并指定一名熟悉业务的公司人员负责与中心对接工作，系统开发建成后根据财评中心需求免费开展业务培训及系统操作教学。</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三、商务需求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color w:val="auto"/>
          <w:sz w:val="28"/>
          <w:szCs w:val="28"/>
          <w:highlight w:val="none"/>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lang w:val="en-US" w:eastAsia="zh-CN"/>
        </w:rPr>
        <w:t>建设周期</w:t>
      </w:r>
      <w:r>
        <w:rPr>
          <w:rFonts w:hint="eastAsia" w:ascii="仿宋_GB2312" w:eastAsia="仿宋_GB2312" w:cs="Times New Roman"/>
          <w:b w:val="0"/>
          <w:bCs/>
          <w:color w:val="auto"/>
          <w:sz w:val="28"/>
          <w:szCs w:val="28"/>
          <w:highlight w:val="none"/>
        </w:rPr>
        <w:t>：</w:t>
      </w:r>
      <w:r>
        <w:rPr>
          <w:rFonts w:hint="eastAsia" w:ascii="仿宋_GB2312" w:eastAsia="仿宋_GB2312" w:cs="Times New Roman"/>
          <w:b w:val="0"/>
          <w:bCs/>
          <w:color w:val="auto"/>
          <w:sz w:val="28"/>
          <w:szCs w:val="28"/>
          <w:highlight w:val="none"/>
          <w:lang w:val="en-US" w:eastAsia="zh-CN"/>
        </w:rPr>
        <w:t>9个</w:t>
      </w:r>
      <w:r>
        <w:rPr>
          <w:rFonts w:hint="eastAsia" w:ascii="仿宋_GB2312" w:eastAsia="仿宋_GB2312" w:cs="Times New Roman"/>
          <w:b w:val="0"/>
          <w:bCs/>
          <w:color w:val="auto"/>
          <w:sz w:val="28"/>
          <w:szCs w:val="28"/>
          <w:highlight w:val="none"/>
        </w:rPr>
        <w:t>月</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highlight w:val="none"/>
          <w:lang w:eastAsia="zh-CN"/>
        </w:rPr>
        <w:t>（二）</w:t>
      </w:r>
      <w:r>
        <w:rPr>
          <w:rFonts w:hint="eastAsia" w:ascii="仿宋_GB2312" w:eastAsia="仿宋_GB2312"/>
          <w:b w:val="0"/>
          <w:bCs/>
          <w:color w:val="auto"/>
          <w:sz w:val="28"/>
          <w:szCs w:val="28"/>
          <w:highlight w:val="none"/>
        </w:rPr>
        <w:t>服务地点：在采购人指定地点</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lang w:eastAsia="zh-CN"/>
        </w:rPr>
      </w:pPr>
      <w:r>
        <w:rPr>
          <w:rFonts w:hint="eastAsia" w:ascii="仿宋_GB2312" w:eastAsia="仿宋_GB2312"/>
          <w:b w:val="0"/>
          <w:bCs/>
          <w:color w:val="auto"/>
          <w:sz w:val="28"/>
          <w:szCs w:val="28"/>
          <w:highlight w:val="none"/>
          <w:lang w:eastAsia="zh-CN"/>
        </w:rPr>
        <w:t>（四）</w:t>
      </w:r>
      <w:r>
        <w:rPr>
          <w:rFonts w:hint="eastAsia" w:ascii="仿宋_GB2312" w:eastAsia="仿宋_GB2312"/>
          <w:b w:val="0"/>
          <w:bCs/>
          <w:color w:val="auto"/>
          <w:sz w:val="28"/>
          <w:szCs w:val="28"/>
          <w:highlight w:val="none"/>
        </w:rPr>
        <w:t>付款方式：</w:t>
      </w:r>
      <w:r>
        <w:rPr>
          <w:rFonts w:hint="eastAsia" w:ascii="仿宋_GB2312" w:eastAsia="仿宋_GB2312"/>
          <w:b w:val="0"/>
          <w:bCs/>
          <w:color w:val="auto"/>
          <w:sz w:val="28"/>
          <w:szCs w:val="28"/>
          <w:highlight w:val="none"/>
          <w:lang w:val="en-US" w:eastAsia="zh-CN"/>
        </w:rPr>
        <w:t>按项目完成进度进行</w:t>
      </w:r>
      <w:r>
        <w:rPr>
          <w:rFonts w:hint="eastAsia" w:ascii="仿宋_GB2312" w:eastAsia="仿宋_GB2312"/>
          <w:b w:val="0"/>
          <w:bCs/>
          <w:color w:val="auto"/>
          <w:sz w:val="28"/>
          <w:szCs w:val="28"/>
          <w:highlight w:val="none"/>
          <w:lang w:eastAsia="zh-CN"/>
        </w:rPr>
        <w:t>付款，</w:t>
      </w:r>
      <w:r>
        <w:rPr>
          <w:rFonts w:hint="eastAsia" w:ascii="仿宋_GB2312" w:eastAsia="仿宋_GB2312"/>
          <w:b w:val="0"/>
          <w:bCs/>
          <w:color w:val="auto"/>
          <w:sz w:val="28"/>
          <w:szCs w:val="28"/>
          <w:highlight w:val="none"/>
          <w:lang w:val="en-US" w:eastAsia="zh-CN"/>
        </w:rPr>
        <w:t>合同签订完成付款至40%，项目完成初步验收付款至80%，项目完成最终验收付款至100%。</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（五）验收</w:t>
      </w:r>
      <w:r>
        <w:rPr>
          <w:rFonts w:hint="eastAsia" w:ascii="仿宋_GB2312" w:eastAsia="仿宋_GB2312"/>
          <w:b w:val="0"/>
          <w:bCs/>
          <w:color w:val="auto"/>
          <w:sz w:val="28"/>
          <w:szCs w:val="28"/>
          <w:highlight w:val="none"/>
        </w:rPr>
        <w:t>：</w:t>
      </w:r>
      <w:r>
        <w:rPr>
          <w:rFonts w:hint="eastAsia" w:ascii="仿宋_GB2312" w:eastAsia="仿宋_GB2312"/>
          <w:b w:val="0"/>
          <w:bCs/>
          <w:color w:val="auto"/>
          <w:sz w:val="28"/>
          <w:szCs w:val="28"/>
          <w:highlight w:val="none"/>
          <w:lang w:eastAsia="zh-CN"/>
        </w:rPr>
        <w:t>采购人</w:t>
      </w:r>
      <w:r>
        <w:rPr>
          <w:rFonts w:hint="eastAsia" w:ascii="仿宋_GB2312" w:eastAsia="仿宋_GB2312"/>
          <w:b w:val="0"/>
          <w:bCs/>
          <w:color w:val="auto"/>
          <w:sz w:val="28"/>
          <w:szCs w:val="28"/>
          <w:highlight w:val="none"/>
        </w:rPr>
        <w:t>在项目服务期到期后，将按照合同约定的服务内容对</w:t>
      </w:r>
      <w:r>
        <w:rPr>
          <w:rFonts w:hint="eastAsia" w:ascii="仿宋_GB2312" w:eastAsia="仿宋_GB2312"/>
          <w:b w:val="0"/>
          <w:bCs/>
          <w:color w:val="auto"/>
          <w:sz w:val="28"/>
          <w:szCs w:val="28"/>
          <w:highlight w:val="none"/>
          <w:lang w:eastAsia="zh-CN"/>
        </w:rPr>
        <w:t>供应商</w:t>
      </w:r>
      <w:r>
        <w:rPr>
          <w:rFonts w:hint="eastAsia" w:ascii="仿宋_GB2312" w:eastAsia="仿宋_GB2312"/>
          <w:b w:val="0"/>
          <w:bCs/>
          <w:color w:val="auto"/>
          <w:sz w:val="28"/>
          <w:szCs w:val="28"/>
          <w:highlight w:val="none"/>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b w:val="0"/>
          <w:bCs/>
          <w:color w:val="auto"/>
          <w:sz w:val="28"/>
          <w:szCs w:val="28"/>
          <w:highlight w:val="none"/>
        </w:rPr>
      </w:pPr>
      <w:r>
        <w:rPr>
          <w:rFonts w:hint="eastAsia" w:ascii="仿宋_GB2312" w:eastAsia="仿宋_GB2312"/>
          <w:b w:val="0"/>
          <w:bCs/>
          <w:color w:val="auto"/>
          <w:sz w:val="28"/>
          <w:szCs w:val="28"/>
          <w:highlight w:val="none"/>
          <w:lang w:eastAsia="zh-CN"/>
        </w:rPr>
        <w:t>（六）</w:t>
      </w:r>
      <w:r>
        <w:rPr>
          <w:rFonts w:hint="eastAsia" w:ascii="仿宋_GB2312" w:eastAsia="仿宋_GB2312"/>
          <w:b w:val="0"/>
          <w:bCs/>
          <w:color w:val="auto"/>
          <w:sz w:val="28"/>
          <w:szCs w:val="28"/>
          <w:highlight w:val="none"/>
        </w:rPr>
        <w:t>违约责任：</w:t>
      </w:r>
      <w:r>
        <w:rPr>
          <w:rFonts w:hint="eastAsia" w:ascii="仿宋_GB2312" w:eastAsia="仿宋_GB2312"/>
          <w:b w:val="0"/>
          <w:bCs/>
          <w:color w:val="auto"/>
          <w:sz w:val="28"/>
          <w:szCs w:val="28"/>
          <w:highlight w:val="none"/>
          <w:lang w:eastAsia="zh-CN"/>
        </w:rPr>
        <w:t>响应人负责对项目检查资料及相关价差文件出现的遗漏或错误进行修改或补充。由于响应人自身的原因，导致合同规定的服务时间延长的，服务期延长期间的所有费用，由响应人自行承担。具体以合同内容为准。</w:t>
      </w:r>
    </w:p>
    <w:p>
      <w:pPr>
        <w:numPr>
          <w:ilvl w:val="0"/>
          <w:numId w:val="0"/>
        </w:numPr>
        <w:snapToGrid w:val="0"/>
        <w:spacing w:line="579" w:lineRule="exact"/>
        <w:ind w:firstLine="560" w:firstLineChars="200"/>
        <w:rPr>
          <w:rFonts w:hint="default"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eastAsia="zh-CN"/>
        </w:rPr>
        <w:t>（七）</w:t>
      </w:r>
      <w:r>
        <w:rPr>
          <w:rFonts w:hint="eastAsia" w:ascii="仿宋_GB2312" w:eastAsia="仿宋_GB2312"/>
          <w:b w:val="0"/>
          <w:bCs/>
          <w:color w:val="auto"/>
          <w:sz w:val="28"/>
          <w:szCs w:val="28"/>
          <w:highlight w:val="none"/>
          <w:lang w:val="en-US" w:eastAsia="zh-CN"/>
        </w:rPr>
        <w:t>系统后续如有升级改造需求，将优先考虑此次合作供应商。</w:t>
      </w:r>
    </w:p>
    <w:p>
      <w:pPr>
        <w:numPr>
          <w:ilvl w:val="0"/>
          <w:numId w:val="0"/>
        </w:numPr>
        <w:snapToGrid w:val="0"/>
        <w:spacing w:line="579" w:lineRule="exact"/>
        <w:ind w:firstLine="560" w:firstLineChars="200"/>
        <w:rPr>
          <w:rFonts w:hint="eastAsia" w:ascii="仿宋_GB2312" w:eastAsia="仿宋_GB2312"/>
          <w:b/>
          <w:bCs w:val="0"/>
          <w:color w:val="auto"/>
          <w:sz w:val="28"/>
          <w:szCs w:val="28"/>
          <w:highlight w:val="none"/>
        </w:rPr>
      </w:pPr>
      <w:r>
        <w:rPr>
          <w:rFonts w:hint="eastAsia" w:ascii="仿宋_GB2312" w:eastAsia="仿宋_GB2312"/>
          <w:b w:val="0"/>
          <w:bCs/>
          <w:color w:val="auto"/>
          <w:sz w:val="28"/>
          <w:szCs w:val="28"/>
          <w:highlight w:val="none"/>
          <w:lang w:eastAsia="zh-CN"/>
        </w:rPr>
        <w:t>（</w:t>
      </w:r>
      <w:r>
        <w:rPr>
          <w:rFonts w:hint="eastAsia" w:ascii="仿宋_GB2312" w:eastAsia="仿宋_GB2312"/>
          <w:b w:val="0"/>
          <w:bCs/>
          <w:color w:val="auto"/>
          <w:sz w:val="28"/>
          <w:szCs w:val="28"/>
          <w:highlight w:val="none"/>
          <w:lang w:val="en-US" w:eastAsia="zh-CN"/>
        </w:rPr>
        <w:t>八</w:t>
      </w:r>
      <w:r>
        <w:rPr>
          <w:rFonts w:hint="eastAsia" w:ascii="仿宋_GB2312" w:eastAsia="仿宋_GB2312"/>
          <w:b w:val="0"/>
          <w:bCs/>
          <w:color w:val="auto"/>
          <w:sz w:val="28"/>
          <w:szCs w:val="28"/>
          <w:highlight w:val="none"/>
          <w:lang w:eastAsia="zh-CN"/>
        </w:rPr>
        <w:t>）供应商报价还应提供以下材料，加盖公章：</w:t>
      </w:r>
    </w:p>
    <w:p>
      <w:pPr>
        <w:numPr>
          <w:ilvl w:val="0"/>
          <w:numId w:val="0"/>
        </w:numPr>
        <w:snapToGrid w:val="0"/>
        <w:spacing w:line="579" w:lineRule="exact"/>
        <w:ind w:firstLine="638" w:firstLineChars="228"/>
        <w:rPr>
          <w:rFonts w:hint="eastAsia" w:ascii="仿宋_GB2312" w:eastAsia="仿宋_GB2312"/>
          <w:b w:val="0"/>
          <w:bCs/>
          <w:color w:val="auto"/>
          <w:sz w:val="28"/>
          <w:szCs w:val="28"/>
          <w:highlight w:val="none"/>
          <w:lang w:eastAsia="zh-CN"/>
        </w:rPr>
      </w:pPr>
      <w:r>
        <w:rPr>
          <w:rFonts w:hint="eastAsia" w:ascii="仿宋_GB2312" w:eastAsia="仿宋_GB2312"/>
          <w:b w:val="0"/>
          <w:bCs/>
          <w:color w:val="auto"/>
          <w:sz w:val="28"/>
          <w:szCs w:val="28"/>
          <w:highlight w:val="none"/>
          <w:lang w:eastAsia="zh-CN"/>
        </w:rPr>
        <w:t>1.响应函</w:t>
      </w:r>
    </w:p>
    <w:p>
      <w:pPr>
        <w:numPr>
          <w:ilvl w:val="0"/>
          <w:numId w:val="0"/>
        </w:numPr>
        <w:snapToGrid w:val="0"/>
        <w:spacing w:line="579" w:lineRule="exact"/>
        <w:ind w:firstLine="638" w:firstLineChars="228"/>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2.法人证明及授权委托书</w:t>
      </w:r>
    </w:p>
    <w:p>
      <w:pPr>
        <w:numPr>
          <w:ilvl w:val="0"/>
          <w:numId w:val="0"/>
        </w:numPr>
        <w:snapToGrid w:val="0"/>
        <w:spacing w:line="579" w:lineRule="exact"/>
        <w:ind w:firstLine="638" w:firstLineChars="228"/>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3.分项报价清单表</w:t>
      </w:r>
    </w:p>
    <w:p>
      <w:pPr>
        <w:numPr>
          <w:ilvl w:val="0"/>
          <w:numId w:val="0"/>
        </w:numPr>
        <w:snapToGrid w:val="0"/>
        <w:spacing w:line="579" w:lineRule="exact"/>
        <w:ind w:firstLine="638" w:firstLineChars="228"/>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4.供应商情况一览表</w:t>
      </w:r>
    </w:p>
    <w:p>
      <w:pPr>
        <w:numPr>
          <w:ilvl w:val="0"/>
          <w:numId w:val="0"/>
        </w:numPr>
        <w:snapToGrid w:val="0"/>
        <w:spacing w:line="579" w:lineRule="exact"/>
        <w:ind w:firstLine="638" w:firstLineChars="228"/>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5.供应商业绩情况</w:t>
      </w:r>
    </w:p>
    <w:p>
      <w:pPr>
        <w:numPr>
          <w:ilvl w:val="0"/>
          <w:numId w:val="0"/>
        </w:numPr>
        <w:snapToGrid w:val="0"/>
        <w:spacing w:line="579" w:lineRule="exact"/>
        <w:ind w:firstLine="638" w:firstLineChars="228"/>
        <w:rPr>
          <w:rFonts w:hint="eastAsia"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6.拟投入本项目的人员情况</w:t>
      </w:r>
    </w:p>
    <w:p>
      <w:pPr>
        <w:numPr>
          <w:ilvl w:val="0"/>
          <w:numId w:val="0"/>
        </w:numPr>
        <w:snapToGrid w:val="0"/>
        <w:spacing w:line="579" w:lineRule="exact"/>
        <w:ind w:firstLine="638" w:firstLineChars="228"/>
      </w:pPr>
      <w:r>
        <w:rPr>
          <w:rFonts w:hint="eastAsia" w:ascii="仿宋_GB2312" w:eastAsia="仿宋_GB2312"/>
          <w:b w:val="0"/>
          <w:bCs/>
          <w:color w:val="auto"/>
          <w:sz w:val="28"/>
          <w:szCs w:val="28"/>
          <w:lang w:val="en-US" w:eastAsia="zh-CN"/>
        </w:rPr>
        <w:t>7.工作初步方案</w:t>
      </w:r>
    </w:p>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pPr>
        <w:spacing w:beforeLines="0" w:afterLines="0" w:line="579" w:lineRule="exact"/>
        <w:rPr>
          <w:color w:val="auto"/>
        </w:rPr>
      </w:pPr>
    </w:p>
    <w:p>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743E8"/>
    <w:rsid w:val="07E74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2025-07-30T09:58:00Z</dcterms:created>
  <dc:creator>王烁豪</dc:creator>
  <cp:lastModifiedBy>王烁豪</cp:lastModifiedBy>
  <dcterms:modified xsi:type="dcterms:W3CDTF">2025-07-30T09:59:05Z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7D17C43FD3AD4D1E9701B88175EA0130</vt:lpwstr>
  </property>
</Properties>
</file>