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bidi="ar"/>
        </w:rPr>
        <w:t>福田区“百万英才汇南粤”暨“三大新引擎”专场招聘会项目</w:t>
      </w:r>
      <w:r>
        <w:rPr>
          <w:rFonts w:hint="eastAsia" w:ascii="方正小标宋_GBK" w:hAnsi="方正小标宋_GBK" w:eastAsia="方正小标宋_GBK" w:cs="方正小标宋_GBK"/>
          <w:color w:val="auto"/>
          <w:sz w:val="44"/>
          <w:szCs w:val="44"/>
          <w:lang w:val="en-US" w:eastAsia="zh-CN"/>
        </w:rPr>
        <w:t>采购需求</w:t>
      </w: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firstLine="640" w:firstLineChars="200"/>
        <w:rPr>
          <w:rFonts w:hint="eastAsia"/>
          <w:lang w:val="en-US" w:eastAsia="zh-CN"/>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为鼓励和支持河套深港科技创新合作区深圳园区、香蜜湖新金融中心重点关注的产业金融、创新资本、财富管理、数字金融以及跨境金融等产业方向企业以及环中心公园活力圈企业多开发开放招聘岗位，吸引更多求职者来深就业，计划开展福田区“百万英才汇南粤”暨“三大新引擎”专场招聘会并同步举办福田区重点产业直播带岗专场活动，全力推动来深求职人员高质量充分就业。现对招聘活动服务进行采购，欢迎符合资格条件的人力资源服务机构报价。</w:t>
      </w: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sz w:val="32"/>
          <w:szCs w:val="32"/>
          <w:lang w:val="en-US" w:eastAsia="zh-CN"/>
        </w:rPr>
        <w:t>一、采购项目概况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Style w:val="14"/>
          <w:rFonts w:hint="eastAsia" w:ascii="仿宋_GB2312" w:hAnsi="仿宋_GB2312" w:eastAsia="仿宋_GB2312" w:cs="仿宋_GB2312"/>
          <w:snapToGrid/>
          <w:color w:val="auto"/>
          <w:kern w:val="2"/>
          <w:sz w:val="32"/>
          <w:szCs w:val="32"/>
          <w:lang w:val="en-US" w:eastAsia="zh-CN"/>
        </w:rPr>
        <w:t>根据</w:t>
      </w:r>
      <w:r>
        <w:rPr>
          <w:rFonts w:hint="eastAsia" w:ascii="仿宋_GB2312" w:hAnsi="仿宋_GB2312" w:eastAsia="仿宋_GB2312" w:cs="仿宋_GB2312"/>
          <w:color w:val="auto"/>
          <w:sz w:val="32"/>
          <w:szCs w:val="32"/>
          <w:lang w:val="en-US" w:eastAsia="zh-CN"/>
        </w:rPr>
        <w:t>省委书记黄坤明同志在全省高质量发展大会上对实施“百万英才汇南粤”行动计划的部署要求和福田区八届四次党代会暨区委经济工作会议关于“提速提效建设‘三大新引擎’，推动战略平台实现新突破”的工作任务，以及</w:t>
      </w:r>
      <w:r>
        <w:rPr>
          <w:rFonts w:hint="default" w:ascii="仿宋_GB2312" w:hAnsi="仿宋_GB2312" w:eastAsia="仿宋_GB2312" w:cs="仿宋_GB2312"/>
          <w:color w:val="auto"/>
          <w:sz w:val="32"/>
          <w:szCs w:val="32"/>
          <w:lang w:val="en-US" w:eastAsia="zh-CN"/>
        </w:rPr>
        <w:t>2025年第7次区政府党组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扩大</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会议</w:t>
      </w:r>
      <w:r>
        <w:rPr>
          <w:rFonts w:hint="eastAsia" w:ascii="仿宋_GB2312" w:hAnsi="仿宋_GB2312" w:eastAsia="仿宋_GB2312" w:cs="仿宋_GB2312"/>
          <w:color w:val="auto"/>
          <w:sz w:val="32"/>
          <w:szCs w:val="32"/>
          <w:lang w:val="en-US" w:eastAsia="zh-CN"/>
        </w:rPr>
        <w:t>交办</w:t>
      </w:r>
      <w:r>
        <w:rPr>
          <w:rFonts w:hint="default" w:ascii="仿宋_GB2312" w:hAnsi="仿宋_GB2312" w:eastAsia="仿宋_GB2312" w:cs="仿宋_GB2312"/>
          <w:color w:val="auto"/>
          <w:sz w:val="32"/>
          <w:szCs w:val="32"/>
          <w:lang w:val="en-US" w:eastAsia="zh-CN"/>
        </w:rPr>
        <w:t>任务</w:t>
      </w:r>
      <w:r>
        <w:rPr>
          <w:rFonts w:hint="eastAsia" w:ascii="仿宋_GB2312" w:hAnsi="仿宋_GB2312" w:eastAsia="仿宋_GB2312" w:cs="仿宋_GB2312"/>
          <w:color w:val="auto"/>
          <w:sz w:val="32"/>
          <w:szCs w:val="32"/>
          <w:lang w:val="en-US" w:eastAsia="zh-CN"/>
        </w:rPr>
        <w:t>要求</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为全面提升招聘服务质量，</w:t>
      </w:r>
      <w:r>
        <w:rPr>
          <w:rFonts w:hint="eastAsia" w:ascii="仿宋_GB2312" w:hAnsi="仿宋_GB2312" w:eastAsia="仿宋_GB2312" w:cs="仿宋_GB2312"/>
          <w:color w:val="auto"/>
          <w:sz w:val="32"/>
          <w:szCs w:val="32"/>
          <w:lang w:val="en-US" w:eastAsia="zh-CN"/>
        </w:rPr>
        <w:t>增加2025年“百万英才汇南粤”秋季大型综合招聘会开展频次，</w:t>
      </w:r>
      <w:r>
        <w:rPr>
          <w:rFonts w:hint="eastAsia" w:ascii="仿宋_GB2312" w:hAnsi="仿宋_GB2312" w:eastAsia="仿宋_GB2312" w:cs="仿宋_GB2312"/>
          <w:b w:val="0"/>
          <w:bCs w:val="0"/>
          <w:color w:val="auto"/>
          <w:sz w:val="32"/>
          <w:szCs w:val="32"/>
          <w:lang w:val="en-US" w:eastAsia="zh-CN"/>
        </w:rPr>
        <w:t>现需采购一家专业人力资源服务机构开展福田区“百万英才汇南粤”暨“三大新引擎”专场招聘会项目服务，以保障招聘活动开展的专业性，</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全方位提供各层面的人力资源服务不同层次要求的企业和求职者。</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根据政府采购工作相关规定，该采购属于自行采购范围。项目预算价:</w:t>
      </w:r>
      <w:r>
        <w:rPr>
          <w:rFonts w:hint="default"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 w:eastAsia="zh-CN" w:bidi="ar-SA"/>
        </w:rPr>
        <w:t>18</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万元（含税金）</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 w:eastAsia="zh-CN" w:bidi="ar-SA"/>
        </w:rPr>
        <w:t>，</w:t>
      </w:r>
      <w:r>
        <w:rPr>
          <w:rFonts w:hint="eastAsia" w:ascii="仿宋_GB2312" w:hAnsi="仿宋" w:eastAsia="仿宋_GB2312" w:cs="Times New Roman"/>
          <w:kern w:val="2"/>
          <w:sz w:val="32"/>
          <w:szCs w:val="32"/>
          <w:lang w:val="en-US" w:eastAsia="zh-CN" w:bidi="ar-SA"/>
        </w:rPr>
        <w:t>响应价格不得低于或高于18万元，可以提供增值服务事项。</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kern w:val="2"/>
          <w:sz w:val="32"/>
          <w:szCs w:val="32"/>
          <w:lang w:val="en-US" w:eastAsia="zh-CN" w:bidi="ar-SA"/>
        </w:rPr>
        <w:t xml:space="preserve">二、项目管理和服务要求  </w:t>
      </w:r>
      <w:r>
        <w:rPr>
          <w:rFonts w:hint="eastAsia" w:ascii="方正楷体_GBK" w:hAnsi="方正楷体_GBK" w:eastAsia="方正楷体_GBK" w:cs="方正楷体_GBK"/>
          <w:b w:val="0"/>
          <w:bCs w:val="0"/>
          <w:i w:val="0"/>
          <w:caps w:val="0"/>
          <w:color w:val="auto"/>
          <w:spacing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2.除非采购人通过政府采购文件要求修改予以更正，否则,响应人应按响应文件或报价价格为标准来履行。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报价的情况,任何因忽视或误解项目情况而导致的索赔或服务期限延长申请将不获批准。造成不良影响的,将被作为不良行为记录在案,并可能影响其以后参加政府采购的项目报价。各响应人在报价时,应充分考虑报价的风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lang w:val="en" w:eastAsia="zh-CN"/>
        </w:rPr>
      </w:pPr>
      <w:r>
        <w:rPr>
          <w:rFonts w:hint="default" w:ascii="仿宋_GB2312" w:hAnsi="仿宋_GB2312" w:eastAsia="仿宋_GB2312" w:cs="仿宋_GB2312"/>
          <w:color w:val="auto"/>
          <w:kern w:val="0"/>
          <w:sz w:val="32"/>
          <w:szCs w:val="32"/>
          <w:lang w:val="en" w:eastAsia="zh-CN" w:bidi="ar"/>
        </w:rPr>
        <w:t>4.</w:t>
      </w:r>
      <w:r>
        <w:rPr>
          <w:rFonts w:hint="eastAsia" w:ascii="仿宋_GB2312" w:hAnsi="仿宋_GB2312" w:eastAsia="仿宋_GB2312" w:cs="仿宋_GB2312"/>
          <w:color w:val="auto"/>
          <w:kern w:val="0"/>
          <w:sz w:val="32"/>
          <w:szCs w:val="32"/>
          <w:lang w:val="en-US" w:eastAsia="zh-CN" w:bidi="ar"/>
        </w:rPr>
        <w:t>按要求</w:t>
      </w:r>
      <w:r>
        <w:rPr>
          <w:rFonts w:hint="eastAsia" w:ascii="仿宋_GB2312" w:hAnsi="仿宋_GB2312" w:eastAsia="仿宋_GB2312" w:cs="仿宋_GB2312"/>
          <w:color w:val="auto"/>
          <w:sz w:val="32"/>
          <w:szCs w:val="32"/>
          <w:lang w:val="en-US" w:eastAsia="zh-CN"/>
        </w:rPr>
        <w:t>分别</w:t>
      </w:r>
      <w:r>
        <w:rPr>
          <w:rFonts w:hint="default" w:ascii="仿宋_GB2312" w:hAnsi="仿宋_GB2312" w:eastAsia="仿宋_GB2312" w:cs="仿宋_GB2312"/>
          <w:color w:val="auto"/>
          <w:sz w:val="32"/>
          <w:szCs w:val="32"/>
          <w:lang w:val="en-US" w:eastAsia="zh-CN"/>
        </w:rPr>
        <w:t>开展“百万英才汇南粤”河套深港科创合作区</w:t>
      </w:r>
      <w:r>
        <w:rPr>
          <w:rFonts w:hint="eastAsia" w:ascii="仿宋_GB2312" w:hAnsi="仿宋_GB2312" w:eastAsia="仿宋_GB2312" w:cs="仿宋_GB2312"/>
          <w:color w:val="auto"/>
          <w:sz w:val="32"/>
          <w:szCs w:val="32"/>
          <w:lang w:val="en-US" w:eastAsia="zh-CN"/>
        </w:rPr>
        <w:t>专场</w:t>
      </w:r>
      <w:r>
        <w:rPr>
          <w:rFonts w:hint="default" w:ascii="仿宋_GB2312" w:hAnsi="仿宋_GB2312" w:eastAsia="仿宋_GB2312" w:cs="仿宋_GB2312"/>
          <w:color w:val="auto"/>
          <w:sz w:val="32"/>
          <w:szCs w:val="32"/>
          <w:lang w:val="en-US" w:eastAsia="zh-CN"/>
        </w:rPr>
        <w:t>招聘会</w:t>
      </w:r>
      <w:r>
        <w:rPr>
          <w:rFonts w:hint="eastAsia" w:ascii="仿宋_GB2312" w:hAnsi="仿宋_GB2312" w:eastAsia="仿宋_GB2312" w:cs="仿宋_GB2312"/>
          <w:color w:val="auto"/>
          <w:sz w:val="32"/>
          <w:szCs w:val="32"/>
          <w:lang w:val="en-US" w:eastAsia="zh-CN"/>
        </w:rPr>
        <w:t>及直播带岗、</w:t>
      </w:r>
      <w:r>
        <w:rPr>
          <w:rFonts w:hint="default" w:ascii="仿宋_GB2312" w:hAnsi="仿宋_GB2312" w:eastAsia="仿宋_GB2312" w:cs="仿宋_GB2312"/>
          <w:color w:val="auto"/>
          <w:sz w:val="32"/>
          <w:szCs w:val="32"/>
          <w:lang w:val="en-US" w:eastAsia="zh-CN"/>
        </w:rPr>
        <w:t>“百万英才汇南粤”香蜜湖新金融中心</w:t>
      </w:r>
      <w:r>
        <w:rPr>
          <w:rFonts w:hint="eastAsia" w:ascii="仿宋_GB2312" w:hAnsi="仿宋_GB2312" w:eastAsia="仿宋_GB2312" w:cs="仿宋_GB2312"/>
          <w:color w:val="auto"/>
          <w:sz w:val="32"/>
          <w:szCs w:val="32"/>
          <w:lang w:val="en-US" w:eastAsia="zh-CN"/>
        </w:rPr>
        <w:t>重点关注产业专场</w:t>
      </w:r>
      <w:r>
        <w:rPr>
          <w:rFonts w:hint="default" w:ascii="仿宋_GB2312" w:hAnsi="仿宋_GB2312" w:eastAsia="仿宋_GB2312" w:cs="仿宋_GB2312"/>
          <w:color w:val="auto"/>
          <w:sz w:val="32"/>
          <w:szCs w:val="32"/>
          <w:lang w:val="en-US" w:eastAsia="zh-CN"/>
        </w:rPr>
        <w:t>招聘会</w:t>
      </w:r>
      <w:r>
        <w:rPr>
          <w:rFonts w:hint="eastAsia" w:ascii="仿宋_GB2312" w:hAnsi="仿宋_GB2312" w:eastAsia="仿宋_GB2312" w:cs="仿宋_GB2312"/>
          <w:color w:val="auto"/>
          <w:sz w:val="32"/>
          <w:szCs w:val="32"/>
          <w:lang w:val="en-US" w:eastAsia="zh-CN"/>
        </w:rPr>
        <w:t>及直播带岗、</w:t>
      </w:r>
      <w:r>
        <w:rPr>
          <w:rFonts w:hint="default" w:ascii="仿宋_GB2312" w:hAnsi="仿宋_GB2312" w:eastAsia="仿宋_GB2312" w:cs="仿宋_GB2312"/>
          <w:color w:val="auto"/>
          <w:sz w:val="32"/>
          <w:szCs w:val="32"/>
          <w:lang w:val="en-US" w:eastAsia="zh-CN"/>
        </w:rPr>
        <w:t>“百万英才汇南粤”环中心公园活力圈</w:t>
      </w:r>
      <w:r>
        <w:rPr>
          <w:rFonts w:hint="eastAsia" w:ascii="仿宋_GB2312" w:hAnsi="仿宋_GB2312" w:eastAsia="仿宋_GB2312" w:cs="仿宋_GB2312"/>
          <w:color w:val="auto"/>
          <w:sz w:val="32"/>
          <w:szCs w:val="32"/>
          <w:lang w:val="en-US" w:eastAsia="zh-CN"/>
        </w:rPr>
        <w:t>专场</w:t>
      </w:r>
      <w:r>
        <w:rPr>
          <w:rFonts w:hint="default" w:ascii="仿宋_GB2312" w:hAnsi="仿宋_GB2312" w:eastAsia="仿宋_GB2312" w:cs="仿宋_GB2312"/>
          <w:color w:val="auto"/>
          <w:sz w:val="32"/>
          <w:szCs w:val="32"/>
          <w:lang w:val="en-US" w:eastAsia="zh-CN"/>
        </w:rPr>
        <w:t>招聘会</w:t>
      </w:r>
      <w:r>
        <w:rPr>
          <w:rFonts w:hint="eastAsia" w:ascii="仿宋_GB2312" w:hAnsi="仿宋_GB2312" w:eastAsia="仿宋_GB2312" w:cs="仿宋_GB2312"/>
          <w:color w:val="auto"/>
          <w:sz w:val="32"/>
          <w:szCs w:val="32"/>
          <w:lang w:val="en-US" w:eastAsia="zh-CN"/>
        </w:rPr>
        <w:t>及直播带岗</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b w:val="0"/>
          <w:bCs w:val="0"/>
          <w:color w:val="auto"/>
          <w:sz w:val="32"/>
          <w:szCs w:val="32"/>
          <w:lang w:val="en-US" w:eastAsia="zh-CN"/>
        </w:rPr>
        <w:t>现场招聘会平均每场参会企业35家以上，平均每场提供岗位数350个以上。开展直播带岗场次3场以上，每场参会企业4家以上，平均每场提供岗位数80个以上。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lang w:val="en" w:eastAsia="zh-CN" w:bidi="ar"/>
        </w:rPr>
        <w:t>5</w:t>
      </w:r>
      <w:r>
        <w:rPr>
          <w:rFonts w:hint="eastAsia" w:ascii="仿宋_GB2312" w:hAnsi="仿宋_GB2312" w:eastAsia="仿宋_GB2312" w:cs="仿宋_GB2312"/>
          <w:color w:val="auto"/>
          <w:kern w:val="0"/>
          <w:sz w:val="32"/>
          <w:szCs w:val="32"/>
          <w:highlight w:val="none"/>
          <w:lang w:val="en-US" w:eastAsia="zh-CN" w:bidi="ar"/>
        </w:rPr>
        <w:t>.其他要求：</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highlight w:val="none"/>
          <w:u w:val="none"/>
          <w:lang w:val="en-US" w:eastAsia="zh-CN" w:bidi="ar-SA"/>
        </w:rPr>
        <w:t>满足我区各类企业 (特别是“</w:t>
      </w:r>
      <w:r>
        <w:rPr>
          <w:rFonts w:hint="eastAsia" w:ascii="仿宋_GB2312" w:hAnsi="仿宋_GB2312" w:eastAsia="仿宋_GB2312" w:cs="仿宋_GB2312"/>
          <w:color w:val="auto"/>
          <w:sz w:val="32"/>
          <w:szCs w:val="32"/>
          <w:lang w:val="en-US" w:eastAsia="zh-CN"/>
        </w:rPr>
        <w:t>三大新引擎</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highlight w:val="none"/>
          <w:u w:val="none"/>
          <w:lang w:val="en-US" w:eastAsia="zh-CN" w:bidi="ar-SA"/>
        </w:rPr>
        <w:t>”企业) 招聘需求，稳定和挖掘就业岗位，促进来深务工人员、失业人员、大学生、港澳青年等群体更快更好实现就业。按要求举办好</w:t>
      </w:r>
      <w:r>
        <w:rPr>
          <w:rFonts w:hint="eastAsia" w:ascii="仿宋_GB2312" w:hAnsi="仿宋_GB2312" w:eastAsia="仿宋_GB2312" w:cs="仿宋_GB2312"/>
          <w:color w:val="auto"/>
          <w:kern w:val="0"/>
          <w:sz w:val="32"/>
          <w:szCs w:val="32"/>
          <w:highlight w:val="none"/>
          <w:lang w:val="en-US" w:eastAsia="zh-CN" w:bidi="ar"/>
        </w:rPr>
        <w:t>线下</w:t>
      </w: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highlight w:val="none"/>
          <w:u w:val="none"/>
          <w:lang w:val="en-US" w:eastAsia="zh-CN" w:bidi="ar-SA"/>
        </w:rPr>
        <w:t>招聘会，开展直播带岗活动，缓解企业求职者“两难”现状，提高就业率</w:t>
      </w:r>
      <w:r>
        <w:rPr>
          <w:rFonts w:hint="eastAsia" w:ascii="仿宋_GB2312" w:hAnsi="仿宋_GB2312" w:eastAsia="仿宋_GB2312" w:cs="仿宋_GB2312"/>
          <w:color w:val="auto"/>
          <w:kern w:val="0"/>
          <w:sz w:val="32"/>
          <w:szCs w:val="32"/>
          <w:highlight w:val="none"/>
          <w:lang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auto"/>
          <w:spacing w:val="0"/>
          <w:kern w:val="2"/>
          <w:sz w:val="32"/>
          <w:szCs w:val="32"/>
          <w:lang w:val="en-US" w:eastAsia="zh-CN" w:bidi="ar-SA"/>
        </w:rPr>
      </w:pPr>
      <w:r>
        <w:rPr>
          <w:rFonts w:hint="eastAsia" w:ascii="黑体" w:hAnsi="黑体" w:eastAsia="黑体" w:cs="黑体"/>
          <w:b w:val="0"/>
          <w:bCs w:val="0"/>
          <w:i w:val="0"/>
          <w:caps w:val="0"/>
          <w:color w:val="auto"/>
          <w:spacing w:val="0"/>
          <w:kern w:val="2"/>
          <w:sz w:val="32"/>
          <w:szCs w:val="32"/>
          <w:lang w:val="en-US" w:eastAsia="zh-CN" w:bidi="ar-SA"/>
        </w:rPr>
        <w:t>三、商务需求</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（一）服务期限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 w:eastAsia="仿宋_GB2312" w:cs="Times New Roman"/>
          <w:kern w:val="2"/>
          <w:sz w:val="32"/>
          <w:szCs w:val="32"/>
          <w:lang w:val="en-US" w:eastAsia="zh-CN" w:bidi="ar-SA"/>
        </w:rPr>
        <w:t>2025年11月完成服务项目</w:t>
      </w:r>
      <w:r>
        <w:rPr>
          <w:rFonts w:hint="eastAsia" w:ascii="仿宋_GB2312" w:hAnsi="仿宋_GB2312" w:eastAsia="仿宋_GB2312" w:cs="仿宋_GB2312"/>
          <w:color w:val="auto"/>
          <w:kern w:val="0"/>
          <w:sz w:val="32"/>
          <w:szCs w:val="32"/>
          <w:lang w:val="en-US" w:eastAsia="zh-CN" w:bidi="ar"/>
        </w:rPr>
        <w:t>。</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（二）服务方式</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线上线下相结合。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（三）报价要求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lang w:eastAsia="zh-CN"/>
        </w:rPr>
        <w:t>本项目服务费采用包干制，应包括服务成本、法定税费和企业的利润。由响应人根据采购文件所提供的资料自行测算投标报价；一经中选，报价总价作为供应商与采购人签定的合同金额，合同期限内不做调整；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2.</w:t>
      </w:r>
      <w:r>
        <w:rPr>
          <w:rFonts w:hint="eastAsia" w:ascii="仿宋_GB2312" w:hAnsi="仿宋_GB2312" w:eastAsia="仿宋_GB2312" w:cs="仿宋_GB2312"/>
          <w:b w:val="0"/>
          <w:bCs w:val="0"/>
          <w:i w:val="0"/>
          <w:caps w:val="0"/>
          <w:color w:val="auto"/>
          <w:spacing w:val="0"/>
          <w:sz w:val="32"/>
          <w:szCs w:val="32"/>
          <w:highlight w:val="none"/>
          <w:lang w:eastAsia="zh-CN"/>
        </w:rPr>
        <w:t>响应人应根据本企业的成本自行决定报价，但不得以低于其企业成本的报价投标；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b w:val="0"/>
          <w:bCs w:val="0"/>
          <w:i w:val="0"/>
          <w:caps w:val="0"/>
          <w:color w:val="auto"/>
          <w:spacing w:val="0"/>
          <w:sz w:val="32"/>
          <w:szCs w:val="32"/>
          <w:highlight w:val="none"/>
          <w:lang w:eastAsia="zh-CN"/>
        </w:rPr>
        <w:t>响应人的报价</w:t>
      </w:r>
      <w:r>
        <w:rPr>
          <w:rFonts w:hint="eastAsia" w:ascii="仿宋_GB2312" w:hAnsi="仿宋" w:eastAsia="仿宋_GB2312" w:cs="Times New Roman"/>
          <w:kern w:val="2"/>
          <w:sz w:val="32"/>
          <w:szCs w:val="32"/>
          <w:lang w:val="en-US" w:eastAsia="zh-CN" w:bidi="ar-SA"/>
        </w:rPr>
        <w:t>不得低于或高于</w:t>
      </w:r>
      <w:r>
        <w:rPr>
          <w:rFonts w:hint="eastAsia" w:ascii="仿宋_GB2312" w:hAnsi="仿宋_GB2312" w:eastAsia="仿宋_GB2312" w:cs="仿宋_GB2312"/>
          <w:b w:val="0"/>
          <w:bCs w:val="0"/>
          <w:i w:val="0"/>
          <w:caps w:val="0"/>
          <w:color w:val="auto"/>
          <w:spacing w:val="0"/>
          <w:sz w:val="32"/>
          <w:szCs w:val="32"/>
          <w:highlight w:val="none"/>
          <w:lang w:eastAsia="zh-CN"/>
        </w:rPr>
        <w:t>项目预算金额；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4.</w:t>
      </w:r>
      <w:r>
        <w:rPr>
          <w:rFonts w:hint="eastAsia" w:ascii="仿宋_GB2312" w:hAnsi="仿宋_GB2312" w:eastAsia="仿宋_GB2312" w:cs="仿宋_GB2312"/>
          <w:b w:val="0"/>
          <w:bCs w:val="0"/>
          <w:i w:val="0"/>
          <w:caps w:val="0"/>
          <w:color w:val="auto"/>
          <w:spacing w:val="0"/>
          <w:sz w:val="32"/>
          <w:szCs w:val="32"/>
          <w:highlight w:val="none"/>
          <w:lang w:eastAsia="zh-CN"/>
        </w:rPr>
        <w:t>响应人的报价，应是本项目采购范围和采购文件及合同条款上所列的各项内容中所述的全部，不得以任何理由予以重复，并以响应人最终提出的综合单价或者总价为依据；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5.</w:t>
      </w:r>
      <w:r>
        <w:rPr>
          <w:rFonts w:hint="eastAsia" w:ascii="仿宋_GB2312" w:hAnsi="仿宋_GB2312" w:eastAsia="仿宋_GB2312" w:cs="仿宋_GB2312"/>
          <w:b w:val="0"/>
          <w:bCs w:val="0"/>
          <w:i w:val="0"/>
          <w:caps w:val="0"/>
          <w:color w:val="auto"/>
          <w:spacing w:val="0"/>
          <w:sz w:val="32"/>
          <w:szCs w:val="32"/>
          <w:highlight w:val="none"/>
          <w:lang w:eastAsia="zh-CN"/>
        </w:rPr>
        <w:t>除非采购人通过修改采购文件予以更正，否则，响应人应毫无例外地按响应文件所列的清单中项目和数量填报综合单价和合价；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6.</w:t>
      </w:r>
      <w:r>
        <w:rPr>
          <w:rFonts w:hint="eastAsia" w:ascii="仿宋_GB2312" w:hAnsi="仿宋_GB2312" w:eastAsia="仿宋_GB2312" w:cs="仿宋_GB2312"/>
          <w:b w:val="0"/>
          <w:bCs w:val="0"/>
          <w:i w:val="0"/>
          <w:caps w:val="0"/>
          <w:color w:val="auto"/>
          <w:spacing w:val="0"/>
          <w:sz w:val="32"/>
          <w:szCs w:val="32"/>
          <w:highlight w:val="none"/>
          <w:lang w:eastAsia="zh-CN"/>
        </w:rPr>
        <w:t>响应人应先到项目地点踏勘以充分了解项目的位置、情况、道路及任何其它足以影响投标报价的情况，任何因忽视或者误解项目情况而导致的索赔或者服务期限延长申请将不获批准；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7.</w:t>
      </w:r>
      <w:r>
        <w:rPr>
          <w:rFonts w:hint="eastAsia" w:ascii="仿宋_GB2312" w:hAnsi="仿宋_GB2312" w:eastAsia="仿宋_GB2312" w:cs="仿宋_GB2312"/>
          <w:b w:val="0"/>
          <w:bCs w:val="0"/>
          <w:i w:val="0"/>
          <w:caps w:val="0"/>
          <w:color w:val="auto"/>
          <w:spacing w:val="0"/>
          <w:sz w:val="32"/>
          <w:szCs w:val="32"/>
          <w:highlight w:val="none"/>
          <w:lang w:eastAsia="zh-CN"/>
        </w:rPr>
        <w:t>响应人不得期望通过索赔等方式获取报价补偿，否则，除可能遭到拒绝外，还可能将被作为不良行为记录在案，并可能影响其以后参加政府采购的项目投标。各响应人在报价时，应充分考虑报价的风险；</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（四）付款方式</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9" w:leftChars="0" w:right="0" w:firstLine="636" w:firstLineChars="199"/>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rPr>
        <w:t>合同签订生效后，</w:t>
      </w:r>
      <w:r>
        <w:rPr>
          <w:rFonts w:hint="eastAsia" w:ascii="仿宋_GB2312" w:hAnsi="仿宋_GB2312" w:eastAsia="仿宋_GB2312" w:cs="仿宋_GB2312"/>
          <w:b w:val="0"/>
          <w:bCs w:val="0"/>
          <w:color w:val="auto"/>
          <w:kern w:val="2"/>
          <w:sz w:val="32"/>
          <w:szCs w:val="32"/>
          <w:lang w:val="en-US" w:eastAsia="zh-CN"/>
        </w:rPr>
        <w:t>乙方完成本合同的招聘服务要求并通过甲方验收合格后，</w:t>
      </w:r>
      <w:r>
        <w:rPr>
          <w:rFonts w:hint="eastAsia" w:ascii="仿宋_GB2312" w:hAnsi="仿宋_GB2312" w:eastAsia="仿宋_GB2312" w:cs="仿宋_GB2312"/>
          <w:b w:val="0"/>
          <w:bCs w:val="0"/>
          <w:color w:val="auto"/>
          <w:kern w:val="2"/>
          <w:sz w:val="32"/>
          <w:szCs w:val="32"/>
          <w:highlight w:val="none"/>
          <w:lang w:val="en-US" w:eastAsia="zh-CN"/>
        </w:rPr>
        <w:t>一次性支付项目款项。</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（五）验收方式</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的服务进行逐项验收。项目验收后，双方共同签署验收报告，验收报告内容包括每一项技术、服务、安全标准的验收情况及项目总体评价，验收报告将作为服务款支付的重要依据。</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（六）违约责任</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b w:val="0"/>
          <w:bCs w:val="0"/>
          <w:i w:val="0"/>
          <w:caps w:val="0"/>
          <w:color w:val="auto"/>
          <w:spacing w:val="0"/>
          <w:sz w:val="32"/>
          <w:szCs w:val="32"/>
          <w:lang w:val="en-US" w:eastAsia="zh-CN"/>
        </w:rPr>
      </w:pPr>
      <w:r>
        <w:rPr>
          <w:rFonts w:hint="eastAsia" w:ascii="楷体_GB2312" w:hAnsi="楷体_GB2312" w:eastAsia="楷体_GB2312" w:cs="楷体_GB2312"/>
          <w:b w:val="0"/>
          <w:bCs w:val="0"/>
          <w:i w:val="0"/>
          <w:caps w:val="0"/>
          <w:color w:val="auto"/>
          <w:spacing w:val="0"/>
          <w:sz w:val="32"/>
          <w:szCs w:val="32"/>
          <w:lang w:val="en-US" w:eastAsia="zh-CN"/>
        </w:rPr>
        <w:t>（七）其他要求</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color w:val="auto"/>
          <w:spacing w:val="0"/>
          <w:sz w:val="32"/>
          <w:szCs w:val="32"/>
          <w:lang w:val="en-US" w:eastAsia="zh-CN"/>
        </w:rPr>
        <w:t>无。</w:t>
      </w:r>
    </w:p>
    <w:p>
      <w:pPr>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p>
    <w:p>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pPr>
      <w:r>
        <w:rPr>
          <w:rFonts w:hint="eastAsia" w:ascii="仿宋_GB2312" w:hAnsi="仿宋_GB2312" w:eastAsia="仿宋_GB2312" w:cs="仿宋_GB2312"/>
          <w:b w:val="0"/>
          <w:bCs w:val="0"/>
          <w:i w:val="0"/>
          <w:caps w:val="0"/>
          <w:smallCaps w:val="0"/>
          <w:strike w:val="0"/>
          <w:dstrike w:val="0"/>
          <w:snapToGrid/>
          <w:vanish w:val="0"/>
          <w:color w:val="auto"/>
          <w:spacing w:val="0"/>
          <w:w w:val="100"/>
          <w:kern w:val="0"/>
          <w:position w:val="0"/>
          <w:sz w:val="32"/>
          <w:szCs w:val="32"/>
          <w:u w:val="none"/>
          <w:lang w:val="en-US" w:eastAsia="zh-CN" w:bidi="ar-SA"/>
        </w:rPr>
        <w:t>附件：福田区“百万英才汇南粤”暨“三大新引擎”专场招聘会项目报价单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auto"/>
          <w:spacing w:val="0"/>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rPr>
        <w:t>福田区人力资源</w:t>
      </w:r>
      <w:r>
        <w:rPr>
          <w:rFonts w:hint="eastAsia" w:ascii="仿宋_GB2312" w:hAnsi="仿宋_GB2312" w:eastAsia="仿宋_GB2312" w:cs="仿宋_GB2312"/>
          <w:b w:val="0"/>
          <w:bCs w:val="0"/>
          <w:i w:val="0"/>
          <w:caps w:val="0"/>
          <w:color w:val="auto"/>
          <w:spacing w:val="0"/>
          <w:sz w:val="32"/>
          <w:szCs w:val="32"/>
          <w:lang w:val="en-US" w:eastAsia="zh-CN"/>
        </w:rPr>
        <w:t>综合事务</w:t>
      </w:r>
      <w:r>
        <w:rPr>
          <w:rFonts w:hint="eastAsia" w:ascii="仿宋_GB2312" w:hAnsi="仿宋_GB2312" w:eastAsia="仿宋_GB2312" w:cs="仿宋_GB2312"/>
          <w:b w:val="0"/>
          <w:bCs w:val="0"/>
          <w:i w:val="0"/>
          <w:caps w:val="0"/>
          <w:color w:val="auto"/>
          <w:spacing w:val="0"/>
          <w:sz w:val="32"/>
          <w:szCs w:val="32"/>
        </w:rPr>
        <w:t>中心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 xml:space="preserve">                               2025年7月</w:t>
      </w:r>
      <w:r>
        <w:rPr>
          <w:rFonts w:hint="default" w:ascii="仿宋_GB2312" w:hAnsi="仿宋_GB2312" w:eastAsia="仿宋_GB2312" w:cs="仿宋_GB2312"/>
          <w:b w:val="0"/>
          <w:bCs w:val="0"/>
          <w:i w:val="0"/>
          <w:caps w:val="0"/>
          <w:color w:val="auto"/>
          <w:spacing w:val="0"/>
          <w:sz w:val="32"/>
          <w:szCs w:val="32"/>
          <w:lang w:val="en" w:eastAsia="zh-CN"/>
        </w:rPr>
        <w:t>21</w:t>
      </w:r>
      <w:bookmarkStart w:id="1" w:name="_GoBack"/>
      <w:bookmarkEnd w:id="1"/>
      <w:r>
        <w:rPr>
          <w:rFonts w:hint="eastAsia" w:ascii="仿宋_GB2312" w:hAnsi="仿宋_GB2312" w:eastAsia="仿宋_GB2312" w:cs="仿宋_GB2312"/>
          <w:b w:val="0"/>
          <w:bCs w:val="0"/>
          <w:i w:val="0"/>
          <w:caps w:val="0"/>
          <w:color w:val="auto"/>
          <w:spacing w:val="0"/>
          <w:sz w:val="32"/>
          <w:szCs w:val="32"/>
          <w:lang w:val="en-US" w:eastAsia="zh-CN"/>
        </w:rPr>
        <w:t>日</w:t>
      </w:r>
    </w:p>
    <w:p>
      <w:pPr>
        <w:pageBreakBefore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br w:type="page"/>
      </w:r>
    </w:p>
    <w:p>
      <w:pPr>
        <w:pageBreakBefore w:val="0"/>
        <w:widowControl/>
        <w:kinsoku/>
        <w:wordWrap/>
        <w:overflowPunct/>
        <w:topLinePunct w:val="0"/>
        <w:autoSpaceDE/>
        <w:autoSpaceDN/>
        <w:bidi w:val="0"/>
        <w:adjustRightInd/>
        <w:snapToGrid/>
        <w:spacing w:beforeAutospacing="0" w:afterAutospacing="0" w:line="560" w:lineRule="exact"/>
        <w:ind w:firstLine="0" w:firstLineChars="0"/>
        <w:jc w:val="left"/>
        <w:rPr>
          <w:rFonts w:hint="eastAsia" w:ascii="宋体" w:hAnsi="宋体" w:eastAsia="宋体" w:cs="宋体"/>
          <w:color w:val="auto"/>
          <w:kern w:val="0"/>
          <w:sz w:val="24"/>
          <w:szCs w:val="24"/>
          <w:lang w:val="en-US" w:eastAsia="zh-CN"/>
        </w:rPr>
      </w:pPr>
      <w:bookmarkStart w:id="0" w:name="_Toc33108033"/>
      <w:r>
        <w:rPr>
          <w:rFonts w:hint="eastAsia" w:ascii="宋体" w:hAnsi="宋体" w:eastAsia="宋体" w:cs="宋体"/>
          <w:color w:val="auto"/>
          <w:kern w:val="0"/>
          <w:sz w:val="24"/>
          <w:szCs w:val="24"/>
          <w:lang w:val="en-US" w:eastAsia="zh-CN"/>
        </w:rPr>
        <w:t>附件</w:t>
      </w:r>
    </w:p>
    <w:p>
      <w:pPr>
        <w:keepNext/>
        <w:keepLines/>
        <w:pageBreakBefore w:val="0"/>
        <w:kinsoku/>
        <w:wordWrap/>
        <w:overflowPunct/>
        <w:topLinePunct w:val="0"/>
        <w:autoSpaceDE/>
        <w:autoSpaceDN/>
        <w:bidi w:val="0"/>
        <w:adjustRightInd/>
        <w:snapToGrid/>
        <w:spacing w:beforeAutospacing="0" w:afterAutospacing="0" w:line="560" w:lineRule="exact"/>
        <w:ind w:firstLine="0" w:firstLineChars="0"/>
        <w:jc w:val="center"/>
        <w:outlineLvl w:val="0"/>
        <w:rPr>
          <w:rFonts w:ascii="方正小标宋简体" w:hAnsi="宋体" w:eastAsia="方正小标宋简体"/>
          <w:color w:val="auto"/>
          <w:kern w:val="44"/>
          <w:sz w:val="44"/>
        </w:rPr>
      </w:pPr>
      <w:r>
        <w:rPr>
          <w:rFonts w:hint="eastAsia" w:ascii="方正小标宋简体" w:hAnsi="宋体" w:eastAsia="方正小标宋简体"/>
          <w:color w:val="auto"/>
          <w:kern w:val="44"/>
          <w:sz w:val="44"/>
        </w:rPr>
        <w:t>投标报价单</w:t>
      </w:r>
    </w:p>
    <w:tbl>
      <w:tblPr>
        <w:tblStyle w:val="10"/>
        <w:tblpPr w:leftFromText="180" w:rightFromText="180" w:vertAnchor="text" w:horzAnchor="page" w:tblpX="1162" w:tblpY="111"/>
        <w:tblOverlap w:val="never"/>
        <w:tblW w:w="10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0023" w:type="dxa"/>
            <w:tcBorders>
              <w:top w:val="nil"/>
              <w:left w:val="nil"/>
              <w:bottom w:val="nil"/>
              <w:right w:val="nil"/>
            </w:tcBorders>
            <w:noWrap w:val="0"/>
            <w:vAlign w:val="center"/>
          </w:tcPr>
          <w:p>
            <w:pPr>
              <w:pageBreakBefore w:val="0"/>
              <w:widowControl/>
              <w:kinsoku/>
              <w:wordWrap/>
              <w:overflowPunct/>
              <w:topLinePunct w:val="0"/>
              <w:autoSpaceDE/>
              <w:autoSpaceDN/>
              <w:bidi w:val="0"/>
              <w:adjustRightInd/>
              <w:snapToGrid/>
              <w:spacing w:beforeAutospacing="0" w:afterAutospacing="0" w:line="560" w:lineRule="exact"/>
              <w:ind w:left="-420" w:leftChars="-200" w:firstLine="0" w:firstLineChars="0"/>
              <w:jc w:val="center"/>
              <w:rPr>
                <w:rFonts w:ascii="宋体" w:hAnsi="宋体" w:eastAsia="宋体" w:cs="宋体"/>
                <w:b/>
                <w:bCs/>
                <w:color w:val="auto"/>
                <w:kern w:val="0"/>
                <w:sz w:val="48"/>
                <w:szCs w:val="48"/>
              </w:rPr>
            </w:pPr>
            <w:r>
              <w:rPr>
                <w:rFonts w:hint="eastAsia" w:ascii="宋体" w:hAnsi="宋体" w:eastAsia="宋体" w:cs="宋体"/>
                <w:b/>
                <w:bCs/>
                <w:color w:val="auto"/>
                <w:kern w:val="0"/>
                <w:sz w:val="48"/>
                <w:szCs w:val="48"/>
                <w:lang w:val="en-US" w:eastAsia="zh-CN"/>
              </w:rPr>
              <w:t xml:space="preserve">  福田区“百万英才汇南粤”暨“三大新引擎”专场招聘会</w:t>
            </w:r>
            <w:r>
              <w:rPr>
                <w:rFonts w:hint="eastAsia" w:ascii="宋体" w:hAnsi="宋体" w:eastAsia="宋体" w:cs="宋体"/>
                <w:b/>
                <w:bCs/>
                <w:color w:val="auto"/>
                <w:kern w:val="0"/>
                <w:sz w:val="48"/>
                <w:szCs w:val="48"/>
              </w:rPr>
              <w:t>项目报价单</w:t>
            </w:r>
          </w:p>
        </w:tc>
      </w:tr>
    </w:tbl>
    <w:p>
      <w:pPr>
        <w:pageBreakBefore w:val="0"/>
        <w:kinsoku/>
        <w:wordWrap/>
        <w:overflowPunct/>
        <w:topLinePunct w:val="0"/>
        <w:autoSpaceDE/>
        <w:autoSpaceDN/>
        <w:bidi w:val="0"/>
        <w:adjustRightInd/>
        <w:snapToGrid/>
        <w:spacing w:beforeAutospacing="0" w:afterAutospacing="0" w:line="56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单位名称（盖章）</w:t>
      </w:r>
      <w:r>
        <w:rPr>
          <w:rFonts w:hint="eastAsia" w:ascii="宋体" w:hAnsi="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 xml:space="preserve">年 </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月</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 xml:space="preserve"> 日</w:t>
      </w:r>
    </w:p>
    <w:tbl>
      <w:tblPr>
        <w:tblStyle w:val="10"/>
        <w:tblpPr w:leftFromText="180" w:rightFromText="180" w:vertAnchor="text" w:horzAnchor="page" w:tblpX="1162" w:tblpY="111"/>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2115"/>
        <w:gridCol w:w="3176"/>
        <w:gridCol w:w="1105"/>
        <w:gridCol w:w="982"/>
        <w:gridCol w:w="1023"/>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序号</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项目</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服务规格及说明</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单价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数量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单位</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设计费</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由采购单位提供相关VI文件，专属设计团队进行主视觉设计</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文案撰写</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宣传海报文案，新闻文稿等内容的撰写</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方案撰写</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撰写活动方案，策划活动进行</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媒体宣传</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分别在中央、省、市主流媒体宣传报道活动成效</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个</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门户网站</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分别在</w:t>
            </w:r>
            <w:r>
              <w:rPr>
                <w:rFonts w:hint="eastAsia" w:ascii="仿宋_GB2312" w:hAnsi="仿宋_GB2312" w:eastAsia="仿宋_GB2312" w:cs="仿宋_GB2312"/>
                <w:b w:val="0"/>
                <w:bCs w:val="0"/>
                <w:color w:val="auto"/>
                <w:kern w:val="0"/>
                <w:sz w:val="24"/>
                <w:szCs w:val="24"/>
                <w:lang w:eastAsia="zh-CN"/>
              </w:rPr>
              <w:t>主流</w:t>
            </w:r>
            <w:r>
              <w:rPr>
                <w:rFonts w:hint="eastAsia" w:ascii="仿宋_GB2312" w:hAnsi="仿宋_GB2312" w:eastAsia="仿宋_GB2312" w:cs="仿宋_GB2312"/>
                <w:b w:val="0"/>
                <w:bCs w:val="0"/>
                <w:color w:val="auto"/>
                <w:kern w:val="0"/>
                <w:sz w:val="24"/>
                <w:szCs w:val="24"/>
              </w:rPr>
              <w:t>门户网站宣传</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个</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社群宣传</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招聘社群宣传</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求职大礼包</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设置活动求职大礼包，吸引求职者参与活动</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直播间运营服务</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提供线上直播运营服务，配备专业直播设备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9</w:t>
            </w:r>
          </w:p>
        </w:tc>
        <w:tc>
          <w:tcPr>
            <w:tcW w:w="2115" w:type="dxa"/>
            <w:vMerge w:val="restart"/>
            <w:tcBorders>
              <w:top w:val="single" w:color="000000" w:sz="4" w:space="0"/>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线下招聘会</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邀请用人单位信息通知、资料整理、资格审核、信息统计、活动效果回访等</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套</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展位物料制作-企业易拉宝</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rPr>
              <w:t>签到台</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rPr>
              <w:t>展位桌布，桌椅等</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套</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11</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横幅、指引牌、小物料</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12</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参展折页</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张</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13</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桁架制作及搭建</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14</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就业创业指导老师（每场邀请一位具有职业指导和就业创业资质的专业职业指导师）</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15</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现场工作人员</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16</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会场物料制作-指引牌、地贴、横幅、企业目录单页等（含搭建）</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套</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17</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会场布置-根据现场情况进行展位搭建，会务文具、纸巾及物料运输费</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套</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18</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rPr>
              <w:t>现场</w:t>
            </w:r>
            <w:r>
              <w:rPr>
                <w:rFonts w:hint="eastAsia" w:ascii="仿宋_GB2312" w:hAnsi="仿宋_GB2312" w:eastAsia="仿宋_GB2312" w:cs="仿宋_GB2312"/>
                <w:b w:val="0"/>
                <w:bCs w:val="0"/>
                <w:color w:val="auto"/>
                <w:kern w:val="0"/>
                <w:sz w:val="24"/>
                <w:szCs w:val="24"/>
                <w:lang w:eastAsia="zh-CN"/>
              </w:rPr>
              <w:t>物资</w:t>
            </w:r>
            <w:r>
              <w:rPr>
                <w:rFonts w:hint="eastAsia" w:ascii="仿宋_GB2312" w:hAnsi="仿宋_GB2312" w:eastAsia="仿宋_GB2312" w:cs="仿宋_GB2312"/>
                <w:b w:val="0"/>
                <w:bCs w:val="0"/>
                <w:color w:val="auto"/>
                <w:kern w:val="0"/>
                <w:sz w:val="24"/>
                <w:szCs w:val="24"/>
              </w:rPr>
              <w:t>-矿泉水，</w:t>
            </w:r>
            <w:r>
              <w:rPr>
                <w:rFonts w:hint="eastAsia" w:ascii="仿宋_GB2312" w:hAnsi="仿宋_GB2312" w:eastAsia="仿宋_GB2312" w:cs="仿宋_GB2312"/>
                <w:b w:val="0"/>
                <w:bCs w:val="0"/>
                <w:color w:val="auto"/>
                <w:kern w:val="0"/>
                <w:sz w:val="24"/>
                <w:szCs w:val="24"/>
                <w:lang w:eastAsia="zh-CN"/>
              </w:rPr>
              <w:t>花露水等</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箱</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19</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现场直播带岗（含主持人）</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20</w:t>
            </w:r>
          </w:p>
        </w:tc>
        <w:tc>
          <w:tcPr>
            <w:tcW w:w="2115" w:type="dxa"/>
            <w:vMerge w:val="continue"/>
            <w:tcBorders>
              <w:left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摄像</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21</w:t>
            </w:r>
          </w:p>
        </w:tc>
        <w:tc>
          <w:tcPr>
            <w:tcW w:w="2115" w:type="dxa"/>
            <w:vMerge w:val="continue"/>
            <w:tcBorders>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视频剪辑</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项目管理费用</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项目进度把控，定期汇报等项目管理</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税费</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按照6%收取</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项</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合计</w:t>
            </w:r>
          </w:p>
        </w:tc>
        <w:tc>
          <w:tcPr>
            <w:tcW w:w="31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c>
          <w:tcPr>
            <w:tcW w:w="435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_GB2312" w:hAnsi="仿宋_GB2312" w:eastAsia="仿宋_GB2312" w:cs="仿宋_GB2312"/>
                <w:b w:val="0"/>
                <w:bCs w:val="0"/>
                <w:color w:val="auto"/>
                <w:kern w:val="0"/>
                <w:sz w:val="24"/>
                <w:szCs w:val="24"/>
              </w:rPr>
            </w:pPr>
          </w:p>
        </w:tc>
      </w:tr>
    </w:tbl>
    <w:p>
      <w:pPr>
        <w:pageBreakBefore w:val="0"/>
        <w:tabs>
          <w:tab w:val="left" w:pos="4688"/>
        </w:tabs>
        <w:kinsoku/>
        <w:wordWrap/>
        <w:overflowPunct/>
        <w:topLinePunct w:val="0"/>
        <w:autoSpaceDE/>
        <w:autoSpaceDN/>
        <w:bidi w:val="0"/>
        <w:adjustRightInd/>
        <w:snapToGrid/>
        <w:spacing w:beforeAutospacing="0" w:afterAutospacing="0" w:line="560" w:lineRule="exact"/>
        <w:jc w:val="left"/>
        <w:rPr>
          <w:rFonts w:hint="eastAsia" w:ascii="宋体" w:hAnsi="宋体" w:eastAsia="宋体" w:cs="宋体"/>
          <w:color w:val="auto"/>
          <w:kern w:val="0"/>
          <w:sz w:val="24"/>
          <w:szCs w:val="24"/>
        </w:rPr>
      </w:pPr>
    </w:p>
    <w:p>
      <w:pPr>
        <w:pageBreakBefore w:val="0"/>
        <w:tabs>
          <w:tab w:val="left" w:pos="4688"/>
        </w:tabs>
        <w:kinsoku/>
        <w:wordWrap/>
        <w:overflowPunct/>
        <w:topLinePunct w:val="0"/>
        <w:autoSpaceDE/>
        <w:autoSpaceDN/>
        <w:bidi w:val="0"/>
        <w:adjustRightInd/>
        <w:snapToGrid/>
        <w:spacing w:beforeAutospacing="0" w:afterAutospacing="0" w:line="560" w:lineRule="exact"/>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联系人：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电话：</w:t>
      </w:r>
    </w:p>
    <w:p>
      <w:pPr>
        <w:pStyle w:val="2"/>
        <w:pageBreakBefore w:val="0"/>
        <w:kinsoku/>
        <w:wordWrap/>
        <w:overflowPunct/>
        <w:topLinePunct w:val="0"/>
        <w:autoSpaceDE/>
        <w:autoSpaceDN/>
        <w:bidi w:val="0"/>
        <w:adjustRightInd/>
        <w:snapToGrid/>
        <w:spacing w:beforeAutospacing="0" w:afterAutospacing="0" w:line="560" w:lineRule="exact"/>
        <w:rPr>
          <w:rFonts w:hint="eastAsia" w:ascii="宋体" w:hAnsi="宋体" w:eastAsia="宋体" w:cs="宋体"/>
          <w:color w:val="auto"/>
          <w:kern w:val="0"/>
          <w:sz w:val="24"/>
          <w:szCs w:val="24"/>
        </w:rPr>
      </w:pPr>
    </w:p>
    <w:p>
      <w:pPr>
        <w:pageBreakBefore w:val="0"/>
        <w:kinsoku/>
        <w:wordWrap/>
        <w:overflowPunct/>
        <w:topLinePunct w:val="0"/>
        <w:autoSpaceDE/>
        <w:autoSpaceDN/>
        <w:bidi w:val="0"/>
        <w:adjustRightInd/>
        <w:snapToGrid/>
        <w:spacing w:beforeAutospacing="0" w:afterAutospacing="0" w:line="560" w:lineRule="exact"/>
        <w:rPr>
          <w:rFonts w:hint="eastAsia" w:ascii="宋体" w:hAnsi="宋体" w:eastAsia="宋体" w:cs="宋体"/>
          <w:color w:val="auto"/>
          <w:kern w:val="0"/>
          <w:sz w:val="24"/>
          <w:szCs w:val="24"/>
        </w:rPr>
      </w:pPr>
    </w:p>
    <w:p>
      <w:pPr>
        <w:pStyle w:val="2"/>
        <w:pageBreakBefore w:val="0"/>
        <w:kinsoku/>
        <w:wordWrap/>
        <w:overflowPunct/>
        <w:topLinePunct w:val="0"/>
        <w:autoSpaceDE/>
        <w:autoSpaceDN/>
        <w:bidi w:val="0"/>
        <w:adjustRightInd/>
        <w:snapToGrid/>
        <w:spacing w:beforeAutospacing="0" w:afterAutospacing="0" w:line="560" w:lineRule="exact"/>
        <w:rPr>
          <w:rFonts w:hint="eastAsia"/>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beforeAutospacing="0" w:afterAutospacing="0" w:line="560" w:lineRule="exact"/>
        <w:ind w:firstLine="0" w:firstLineChars="0"/>
        <w:textAlignment w:val="auto"/>
        <w:rPr>
          <w:rFonts w:hint="eastAsia"/>
        </w:rPr>
      </w:pPr>
      <w:r>
        <w:rPr>
          <w:rFonts w:hint="eastAsia" w:ascii="仿宋" w:hAnsi="仿宋" w:eastAsia="仿宋" w:cs="仿宋"/>
          <w:color w:val="auto"/>
          <w:sz w:val="32"/>
          <w:szCs w:val="32"/>
        </w:rPr>
        <w:t>供应商代表签字:</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beforeAutospacing="0" w:afterAutospacing="0" w:line="560" w:lineRule="exact"/>
        <w:ind w:firstLine="0" w:firstLineChars="0"/>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 w:hAnsi="仿宋" w:eastAsia="仿宋" w:cs="仿宋"/>
          <w:color w:val="auto"/>
          <w:sz w:val="32"/>
          <w:szCs w:val="32"/>
        </w:rPr>
        <w:t>单位盖章：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bookmarkEnd w:id="0"/>
    </w:p>
    <w:sectPr>
      <w:footerReference r:id="rId3" w:type="default"/>
      <w:pgSz w:w="11906" w:h="16838"/>
      <w:pgMar w:top="2098" w:right="1417" w:bottom="2098"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mE5MmVhNzRjNTU5ZDU2YzRjZDliODMwOGFkMDQifQ=="/>
  </w:docVars>
  <w:rsids>
    <w:rsidRoot w:val="00000000"/>
    <w:rsid w:val="002E21DB"/>
    <w:rsid w:val="005035CC"/>
    <w:rsid w:val="00677DB7"/>
    <w:rsid w:val="00DE29F2"/>
    <w:rsid w:val="01092E43"/>
    <w:rsid w:val="015928B6"/>
    <w:rsid w:val="01850CBC"/>
    <w:rsid w:val="0203305B"/>
    <w:rsid w:val="021800C0"/>
    <w:rsid w:val="0225600D"/>
    <w:rsid w:val="024D0BE5"/>
    <w:rsid w:val="029119C5"/>
    <w:rsid w:val="0298354F"/>
    <w:rsid w:val="02A50666"/>
    <w:rsid w:val="02E0586A"/>
    <w:rsid w:val="03316615"/>
    <w:rsid w:val="040E6F04"/>
    <w:rsid w:val="042E26EB"/>
    <w:rsid w:val="045B4ACE"/>
    <w:rsid w:val="049F687A"/>
    <w:rsid w:val="04A1798B"/>
    <w:rsid w:val="04CB3E55"/>
    <w:rsid w:val="04E20AB8"/>
    <w:rsid w:val="050A5551"/>
    <w:rsid w:val="05646EE5"/>
    <w:rsid w:val="05952F37"/>
    <w:rsid w:val="0627485B"/>
    <w:rsid w:val="062E1E31"/>
    <w:rsid w:val="0677053B"/>
    <w:rsid w:val="070569A8"/>
    <w:rsid w:val="07393E15"/>
    <w:rsid w:val="07776CCA"/>
    <w:rsid w:val="07AE35A7"/>
    <w:rsid w:val="07EF0823"/>
    <w:rsid w:val="08625B52"/>
    <w:rsid w:val="08710304"/>
    <w:rsid w:val="08F935C9"/>
    <w:rsid w:val="0923679C"/>
    <w:rsid w:val="095C586C"/>
    <w:rsid w:val="097656D1"/>
    <w:rsid w:val="0A887557"/>
    <w:rsid w:val="0A8B3EAB"/>
    <w:rsid w:val="0A994110"/>
    <w:rsid w:val="0B6C77CA"/>
    <w:rsid w:val="0B6E2CCD"/>
    <w:rsid w:val="0BC87EE4"/>
    <w:rsid w:val="0BD104DC"/>
    <w:rsid w:val="0C0976C1"/>
    <w:rsid w:val="0C5047EE"/>
    <w:rsid w:val="0C772F7F"/>
    <w:rsid w:val="0C9C20F3"/>
    <w:rsid w:val="0CD64DF4"/>
    <w:rsid w:val="0DB55A7E"/>
    <w:rsid w:val="0E2559E7"/>
    <w:rsid w:val="0E864564"/>
    <w:rsid w:val="0F096081"/>
    <w:rsid w:val="0F1D6030"/>
    <w:rsid w:val="0F6428CD"/>
    <w:rsid w:val="0FA90579"/>
    <w:rsid w:val="0FB833D0"/>
    <w:rsid w:val="10F26BDC"/>
    <w:rsid w:val="10F42CA0"/>
    <w:rsid w:val="11560AFF"/>
    <w:rsid w:val="11746C5A"/>
    <w:rsid w:val="11CE1A42"/>
    <w:rsid w:val="11D36D5A"/>
    <w:rsid w:val="12116A59"/>
    <w:rsid w:val="12191EC2"/>
    <w:rsid w:val="12553928"/>
    <w:rsid w:val="132E0129"/>
    <w:rsid w:val="138165B6"/>
    <w:rsid w:val="13A01AB6"/>
    <w:rsid w:val="13BD01B1"/>
    <w:rsid w:val="13D94FEB"/>
    <w:rsid w:val="13DC40EB"/>
    <w:rsid w:val="13DE58AF"/>
    <w:rsid w:val="14224F13"/>
    <w:rsid w:val="14390FC1"/>
    <w:rsid w:val="14E91FD2"/>
    <w:rsid w:val="153D069E"/>
    <w:rsid w:val="16176ECF"/>
    <w:rsid w:val="1743619C"/>
    <w:rsid w:val="17B42173"/>
    <w:rsid w:val="17E9301A"/>
    <w:rsid w:val="183171BE"/>
    <w:rsid w:val="188B43D5"/>
    <w:rsid w:val="18E402E6"/>
    <w:rsid w:val="18FF308F"/>
    <w:rsid w:val="19250D50"/>
    <w:rsid w:val="19517616"/>
    <w:rsid w:val="199C047C"/>
    <w:rsid w:val="19CC6F5F"/>
    <w:rsid w:val="1A203115"/>
    <w:rsid w:val="1ADD5DD7"/>
    <w:rsid w:val="1B5238E3"/>
    <w:rsid w:val="1C2077B4"/>
    <w:rsid w:val="1C416954"/>
    <w:rsid w:val="1C8000BC"/>
    <w:rsid w:val="1CF3558E"/>
    <w:rsid w:val="1D6B3F86"/>
    <w:rsid w:val="1E0E6FDF"/>
    <w:rsid w:val="1E57684E"/>
    <w:rsid w:val="1E997593"/>
    <w:rsid w:val="1EEE797C"/>
    <w:rsid w:val="1EF9A188"/>
    <w:rsid w:val="1F597EFB"/>
    <w:rsid w:val="1F615307"/>
    <w:rsid w:val="1FAC5786"/>
    <w:rsid w:val="20012743"/>
    <w:rsid w:val="20203D53"/>
    <w:rsid w:val="20697A3C"/>
    <w:rsid w:val="20B15F2E"/>
    <w:rsid w:val="21637953"/>
    <w:rsid w:val="2216237D"/>
    <w:rsid w:val="22A56445"/>
    <w:rsid w:val="23A94D12"/>
    <w:rsid w:val="23EA577B"/>
    <w:rsid w:val="24B23891"/>
    <w:rsid w:val="253E2BAA"/>
    <w:rsid w:val="255D1DDA"/>
    <w:rsid w:val="25661450"/>
    <w:rsid w:val="25A05AF1"/>
    <w:rsid w:val="25B90C7C"/>
    <w:rsid w:val="2615738A"/>
    <w:rsid w:val="261B2AEA"/>
    <w:rsid w:val="265F3F6E"/>
    <w:rsid w:val="268663C4"/>
    <w:rsid w:val="26E2325A"/>
    <w:rsid w:val="273E5B72"/>
    <w:rsid w:val="27C311E5"/>
    <w:rsid w:val="27D968A6"/>
    <w:rsid w:val="28EB582E"/>
    <w:rsid w:val="29146704"/>
    <w:rsid w:val="29365CAD"/>
    <w:rsid w:val="29627D0B"/>
    <w:rsid w:val="29A455CA"/>
    <w:rsid w:val="29A63F05"/>
    <w:rsid w:val="29C07716"/>
    <w:rsid w:val="2A1B7225"/>
    <w:rsid w:val="2A5E7CDA"/>
    <w:rsid w:val="2A6C67B2"/>
    <w:rsid w:val="2AD7C391"/>
    <w:rsid w:val="2B0F454F"/>
    <w:rsid w:val="2B3BF4EA"/>
    <w:rsid w:val="2BD7320F"/>
    <w:rsid w:val="2DEA176B"/>
    <w:rsid w:val="2DFF5D97"/>
    <w:rsid w:val="2E171336"/>
    <w:rsid w:val="2EA03A19"/>
    <w:rsid w:val="2EC17010"/>
    <w:rsid w:val="2EC7666F"/>
    <w:rsid w:val="2EDA686E"/>
    <w:rsid w:val="2F2048B1"/>
    <w:rsid w:val="2F4B69BF"/>
    <w:rsid w:val="2F4C700D"/>
    <w:rsid w:val="2FCD2A5F"/>
    <w:rsid w:val="2FFF9DE8"/>
    <w:rsid w:val="307D2EBD"/>
    <w:rsid w:val="307F111D"/>
    <w:rsid w:val="31321F62"/>
    <w:rsid w:val="31AA08D6"/>
    <w:rsid w:val="31C94E76"/>
    <w:rsid w:val="32DA5F3E"/>
    <w:rsid w:val="338F34F8"/>
    <w:rsid w:val="33D13151"/>
    <w:rsid w:val="33DC3393"/>
    <w:rsid w:val="343000F8"/>
    <w:rsid w:val="34376E85"/>
    <w:rsid w:val="3471583A"/>
    <w:rsid w:val="34E207CA"/>
    <w:rsid w:val="34F915CB"/>
    <w:rsid w:val="350F0F1C"/>
    <w:rsid w:val="352F6B67"/>
    <w:rsid w:val="35840B34"/>
    <w:rsid w:val="35AD209F"/>
    <w:rsid w:val="35FC6BC2"/>
    <w:rsid w:val="36420500"/>
    <w:rsid w:val="36D43DFF"/>
    <w:rsid w:val="36E807A2"/>
    <w:rsid w:val="37980946"/>
    <w:rsid w:val="37B04CCA"/>
    <w:rsid w:val="37E072FC"/>
    <w:rsid w:val="38213D5E"/>
    <w:rsid w:val="3857134C"/>
    <w:rsid w:val="39343BEA"/>
    <w:rsid w:val="393B3575"/>
    <w:rsid w:val="393C0FF6"/>
    <w:rsid w:val="396547E9"/>
    <w:rsid w:val="397E1DD7"/>
    <w:rsid w:val="39B36B20"/>
    <w:rsid w:val="39E70C6C"/>
    <w:rsid w:val="3BD861B4"/>
    <w:rsid w:val="3C0440CF"/>
    <w:rsid w:val="3C1670B1"/>
    <w:rsid w:val="3C5B6995"/>
    <w:rsid w:val="3CD40544"/>
    <w:rsid w:val="3CF74A34"/>
    <w:rsid w:val="3D7B53FF"/>
    <w:rsid w:val="3DBA4871"/>
    <w:rsid w:val="3EFB55E5"/>
    <w:rsid w:val="3F2A0D32"/>
    <w:rsid w:val="3F9A137A"/>
    <w:rsid w:val="3FB90CDB"/>
    <w:rsid w:val="3FCC2AB9"/>
    <w:rsid w:val="3FEE896A"/>
    <w:rsid w:val="3FFE4C2E"/>
    <w:rsid w:val="3FFEE601"/>
    <w:rsid w:val="40042C13"/>
    <w:rsid w:val="4009291E"/>
    <w:rsid w:val="40475A23"/>
    <w:rsid w:val="405C51FA"/>
    <w:rsid w:val="41717486"/>
    <w:rsid w:val="42004FD7"/>
    <w:rsid w:val="42623DB4"/>
    <w:rsid w:val="42D504B3"/>
    <w:rsid w:val="42D739B6"/>
    <w:rsid w:val="43750D92"/>
    <w:rsid w:val="43AFC879"/>
    <w:rsid w:val="43CD69B0"/>
    <w:rsid w:val="43EF1E4D"/>
    <w:rsid w:val="446A1BCE"/>
    <w:rsid w:val="45046549"/>
    <w:rsid w:val="463329C9"/>
    <w:rsid w:val="46B24D37"/>
    <w:rsid w:val="47106FE8"/>
    <w:rsid w:val="471655A4"/>
    <w:rsid w:val="4751227F"/>
    <w:rsid w:val="475C3666"/>
    <w:rsid w:val="47D44DF4"/>
    <w:rsid w:val="48A62E03"/>
    <w:rsid w:val="48B65D2E"/>
    <w:rsid w:val="48BE0473"/>
    <w:rsid w:val="48DF7CFE"/>
    <w:rsid w:val="48FB2803"/>
    <w:rsid w:val="49291217"/>
    <w:rsid w:val="495C4E50"/>
    <w:rsid w:val="4A4970F0"/>
    <w:rsid w:val="4A532A7C"/>
    <w:rsid w:val="4A8703AE"/>
    <w:rsid w:val="4B8135C3"/>
    <w:rsid w:val="4BA17322"/>
    <w:rsid w:val="4BCC21DE"/>
    <w:rsid w:val="4C617760"/>
    <w:rsid w:val="4C914A2C"/>
    <w:rsid w:val="4CD5641A"/>
    <w:rsid w:val="4CFC628E"/>
    <w:rsid w:val="4D03026D"/>
    <w:rsid w:val="4D3A612D"/>
    <w:rsid w:val="4D3E25C6"/>
    <w:rsid w:val="4DE23FF1"/>
    <w:rsid w:val="4DF57B76"/>
    <w:rsid w:val="4E59599C"/>
    <w:rsid w:val="4F2449E5"/>
    <w:rsid w:val="4FB7EC79"/>
    <w:rsid w:val="4FF00A53"/>
    <w:rsid w:val="4FFE214A"/>
    <w:rsid w:val="50250DB6"/>
    <w:rsid w:val="5041306C"/>
    <w:rsid w:val="50416D07"/>
    <w:rsid w:val="50514794"/>
    <w:rsid w:val="507C0F59"/>
    <w:rsid w:val="511A6B75"/>
    <w:rsid w:val="512F3B40"/>
    <w:rsid w:val="514D0801"/>
    <w:rsid w:val="51764762"/>
    <w:rsid w:val="53B81EE5"/>
    <w:rsid w:val="54B902E3"/>
    <w:rsid w:val="54BF4C96"/>
    <w:rsid w:val="55C44E12"/>
    <w:rsid w:val="55C667DB"/>
    <w:rsid w:val="55E15C2F"/>
    <w:rsid w:val="56822056"/>
    <w:rsid w:val="56CE091E"/>
    <w:rsid w:val="57250C88"/>
    <w:rsid w:val="576A3917"/>
    <w:rsid w:val="57CF2719"/>
    <w:rsid w:val="57EF66CF"/>
    <w:rsid w:val="57FA244B"/>
    <w:rsid w:val="589679B0"/>
    <w:rsid w:val="59045DAE"/>
    <w:rsid w:val="59100DE8"/>
    <w:rsid w:val="59793801"/>
    <w:rsid w:val="598469DF"/>
    <w:rsid w:val="59EB2715"/>
    <w:rsid w:val="59FB6D28"/>
    <w:rsid w:val="5A0F5412"/>
    <w:rsid w:val="5A394EF2"/>
    <w:rsid w:val="5A7C4F26"/>
    <w:rsid w:val="5AB807E4"/>
    <w:rsid w:val="5AC47E7A"/>
    <w:rsid w:val="5AC911BF"/>
    <w:rsid w:val="5B2B529F"/>
    <w:rsid w:val="5BCF179C"/>
    <w:rsid w:val="5BF25068"/>
    <w:rsid w:val="5C213BE9"/>
    <w:rsid w:val="5C852059"/>
    <w:rsid w:val="5CA81314"/>
    <w:rsid w:val="5CEA1DD2"/>
    <w:rsid w:val="5D1E3A1B"/>
    <w:rsid w:val="5D2C0268"/>
    <w:rsid w:val="5E3C7F80"/>
    <w:rsid w:val="5E7FDFA9"/>
    <w:rsid w:val="5EE445D9"/>
    <w:rsid w:val="5F1736F2"/>
    <w:rsid w:val="5F530EF2"/>
    <w:rsid w:val="5F8A60C4"/>
    <w:rsid w:val="5FAA70C5"/>
    <w:rsid w:val="5FB330EC"/>
    <w:rsid w:val="5FBC509E"/>
    <w:rsid w:val="60182DDC"/>
    <w:rsid w:val="60C03647"/>
    <w:rsid w:val="61A0326D"/>
    <w:rsid w:val="627812D4"/>
    <w:rsid w:val="62E82153"/>
    <w:rsid w:val="63AE58FD"/>
    <w:rsid w:val="63BE8BE1"/>
    <w:rsid w:val="63D273A8"/>
    <w:rsid w:val="645F178D"/>
    <w:rsid w:val="64A66831"/>
    <w:rsid w:val="64BFD7AB"/>
    <w:rsid w:val="64DA4A37"/>
    <w:rsid w:val="65123962"/>
    <w:rsid w:val="656066B3"/>
    <w:rsid w:val="65B5316B"/>
    <w:rsid w:val="65C85E36"/>
    <w:rsid w:val="66235870"/>
    <w:rsid w:val="66273837"/>
    <w:rsid w:val="66482425"/>
    <w:rsid w:val="67793D50"/>
    <w:rsid w:val="67FBC647"/>
    <w:rsid w:val="6885645B"/>
    <w:rsid w:val="68904EA7"/>
    <w:rsid w:val="691D3870"/>
    <w:rsid w:val="696628CE"/>
    <w:rsid w:val="6A4D4ADA"/>
    <w:rsid w:val="6A75751E"/>
    <w:rsid w:val="6A851C67"/>
    <w:rsid w:val="6AF80DF1"/>
    <w:rsid w:val="6B155885"/>
    <w:rsid w:val="6B494292"/>
    <w:rsid w:val="6B6A52CA"/>
    <w:rsid w:val="6B864430"/>
    <w:rsid w:val="6C530635"/>
    <w:rsid w:val="6C5437B3"/>
    <w:rsid w:val="6CFBA927"/>
    <w:rsid w:val="6D7C5FAF"/>
    <w:rsid w:val="6EAE7261"/>
    <w:rsid w:val="6EFF5F81"/>
    <w:rsid w:val="6F763B92"/>
    <w:rsid w:val="6F8F50DC"/>
    <w:rsid w:val="6FA90784"/>
    <w:rsid w:val="6FAB07C2"/>
    <w:rsid w:val="70784693"/>
    <w:rsid w:val="707FE030"/>
    <w:rsid w:val="7111712C"/>
    <w:rsid w:val="716C6225"/>
    <w:rsid w:val="71E76FE0"/>
    <w:rsid w:val="7260229C"/>
    <w:rsid w:val="729205B9"/>
    <w:rsid w:val="72FE0BBA"/>
    <w:rsid w:val="73EE78D6"/>
    <w:rsid w:val="741C1DD4"/>
    <w:rsid w:val="742F5467"/>
    <w:rsid w:val="757B56CA"/>
    <w:rsid w:val="75AC2A8F"/>
    <w:rsid w:val="75CB6A10"/>
    <w:rsid w:val="761966CD"/>
    <w:rsid w:val="762E0023"/>
    <w:rsid w:val="7640292A"/>
    <w:rsid w:val="76704CDE"/>
    <w:rsid w:val="76943E2F"/>
    <w:rsid w:val="76FB2B4F"/>
    <w:rsid w:val="777E04C5"/>
    <w:rsid w:val="77BB8473"/>
    <w:rsid w:val="77CD049D"/>
    <w:rsid w:val="77DD5067"/>
    <w:rsid w:val="7853BA4D"/>
    <w:rsid w:val="78551E5B"/>
    <w:rsid w:val="787D6F96"/>
    <w:rsid w:val="7895130D"/>
    <w:rsid w:val="78A10475"/>
    <w:rsid w:val="78AA642F"/>
    <w:rsid w:val="790B4D70"/>
    <w:rsid w:val="790D0E29"/>
    <w:rsid w:val="792B4D76"/>
    <w:rsid w:val="798640F8"/>
    <w:rsid w:val="79F4104E"/>
    <w:rsid w:val="7A761AAF"/>
    <w:rsid w:val="7A931F2A"/>
    <w:rsid w:val="7AE54D0E"/>
    <w:rsid w:val="7AFC248A"/>
    <w:rsid w:val="7B3B6A1E"/>
    <w:rsid w:val="7BB78196"/>
    <w:rsid w:val="7BB7FA7D"/>
    <w:rsid w:val="7BFFC8F6"/>
    <w:rsid w:val="7C5D6F97"/>
    <w:rsid w:val="7C9E5802"/>
    <w:rsid w:val="7CAE86C2"/>
    <w:rsid w:val="7CDDC106"/>
    <w:rsid w:val="7CF64D77"/>
    <w:rsid w:val="7D3172B9"/>
    <w:rsid w:val="7D817DB9"/>
    <w:rsid w:val="7D9F2E27"/>
    <w:rsid w:val="7DFA4B07"/>
    <w:rsid w:val="7E064C5A"/>
    <w:rsid w:val="7E10795E"/>
    <w:rsid w:val="7E54384F"/>
    <w:rsid w:val="7E825E0A"/>
    <w:rsid w:val="7EBD5FDD"/>
    <w:rsid w:val="7EF3FCEE"/>
    <w:rsid w:val="7F330CBF"/>
    <w:rsid w:val="7F7B15F6"/>
    <w:rsid w:val="7FCECEE9"/>
    <w:rsid w:val="7FDEB1C6"/>
    <w:rsid w:val="7FDFE29C"/>
    <w:rsid w:val="7FE853BE"/>
    <w:rsid w:val="7FEAFCBF"/>
    <w:rsid w:val="7FFF0ED2"/>
    <w:rsid w:val="9B3C8729"/>
    <w:rsid w:val="9DFDB37C"/>
    <w:rsid w:val="9E9826D1"/>
    <w:rsid w:val="A1DFD074"/>
    <w:rsid w:val="AF1B33F0"/>
    <w:rsid w:val="AF968C3D"/>
    <w:rsid w:val="BEB5FF22"/>
    <w:rsid w:val="BEF1DFC3"/>
    <w:rsid w:val="BF574A2F"/>
    <w:rsid w:val="BFF42E27"/>
    <w:rsid w:val="BFFFA541"/>
    <w:rsid w:val="CFF58B86"/>
    <w:rsid w:val="D7F72708"/>
    <w:rsid w:val="DCBF3C89"/>
    <w:rsid w:val="DE7BACC1"/>
    <w:rsid w:val="DF2BA4D7"/>
    <w:rsid w:val="DFB7FE48"/>
    <w:rsid w:val="DFFB4438"/>
    <w:rsid w:val="E3FE509B"/>
    <w:rsid w:val="EF7E428E"/>
    <w:rsid w:val="EFA74176"/>
    <w:rsid w:val="EFA79DEF"/>
    <w:rsid w:val="EFF8BAE7"/>
    <w:rsid w:val="F4FD4ABD"/>
    <w:rsid w:val="F4FE2CAD"/>
    <w:rsid w:val="F6E734C7"/>
    <w:rsid w:val="F6FF50D6"/>
    <w:rsid w:val="F77A78F1"/>
    <w:rsid w:val="F77B237D"/>
    <w:rsid w:val="F79D0B05"/>
    <w:rsid w:val="F7CA3A56"/>
    <w:rsid w:val="F7CDEE42"/>
    <w:rsid w:val="F7D7150C"/>
    <w:rsid w:val="F7EFE25F"/>
    <w:rsid w:val="FAF7C9AF"/>
    <w:rsid w:val="FAFFC5CA"/>
    <w:rsid w:val="FB5B7B57"/>
    <w:rsid w:val="FE932382"/>
    <w:rsid w:val="FECD85F8"/>
    <w:rsid w:val="FED77716"/>
    <w:rsid w:val="FEE7AF3F"/>
    <w:rsid w:val="FF5526CF"/>
    <w:rsid w:val="FF57A443"/>
    <w:rsid w:val="FF7F9FA8"/>
    <w:rsid w:val="FFAF74D8"/>
    <w:rsid w:val="FFBFD25F"/>
    <w:rsid w:val="FFDB1050"/>
    <w:rsid w:val="FFF7F6E9"/>
    <w:rsid w:val="FFF99D36"/>
    <w:rsid w:val="FFFB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Char Char Char Char Char Char Char"/>
    <w:link w:val="13"/>
    <w:qFormat/>
    <w:uiPriority w:val="0"/>
    <w:rPr>
      <w:szCs w:val="24"/>
    </w:rPr>
  </w:style>
  <w:style w:type="paragraph" w:customStyle="1" w:styleId="13">
    <w:name w:val="Char Char Char Char Char Char"/>
    <w:basedOn w:val="1"/>
    <w:link w:val="12"/>
    <w:qFormat/>
    <w:uiPriority w:val="0"/>
    <w:pPr>
      <w:widowControl/>
      <w:spacing w:after="160" w:line="240" w:lineRule="exact"/>
      <w:jc w:val="left"/>
    </w:pPr>
    <w:rPr>
      <w:szCs w:val="24"/>
    </w:rPr>
  </w:style>
  <w:style w:type="character" w:customStyle="1" w:styleId="14">
    <w:name w:val="NormalCharacter"/>
    <w:qFormat/>
    <w:uiPriority w:val="0"/>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2203</Words>
  <Characters>2225</Characters>
  <Lines>0</Lines>
  <Paragraphs>0</Paragraphs>
  <TotalTime>0</TotalTime>
  <ScaleCrop>false</ScaleCrop>
  <LinksUpToDate>false</LinksUpToDate>
  <CharactersWithSpaces>2362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2022-04-19T11:08:00Z</dcterms:created>
  <dc:creator>庄雪梅</dc:creator>
  <cp:lastModifiedBy>肖鸿志</cp:lastModifiedBy>
  <cp:lastPrinted>2023-12-16T16:30:00Z</cp:lastPrinted>
  <dcterms:modified xsi:type="dcterms:W3CDTF">2025-07-21T11:10:45Z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BDA29C44122D426B8D95AEFEB7B2EE66</vt:lpwstr>
  </property>
</Properties>
</file>