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240" w:lineRule="auto"/>
        <w:ind w:firstLine="720" w:firstLineChars="200"/>
        <w:jc w:val="center"/>
        <w:rPr>
          <w:rFonts w:asciiTheme="minorHAnsi" w:hAnsiTheme="minorHAnsi" w:eastAsiaTheme="minorEastAsia" w:cstheme="minorBidi"/>
          <w:kern w:val="2"/>
          <w:sz w:val="21"/>
          <w:szCs w:val="24"/>
          <w:lang w:val="en-US" w:eastAsia="zh-CN" w:bidi="ar-SA"/>
        </w:rPr>
      </w:pPr>
      <w:r>
        <w:rPr>
          <w:rFonts w:hint="eastAsia" w:ascii="方正小标宋简体" w:hAnsi="方正小标宋简体" w:eastAsia="方正小标宋简体" w:cs="方正小标宋简体"/>
          <w:sz w:val="36"/>
          <w:szCs w:val="36"/>
        </w:rPr>
        <w:t>采购项目需求方案</w:t>
      </w:r>
    </w:p>
    <w:tbl>
      <w:tblPr>
        <w:tblStyle w:val="7"/>
        <w:tblW w:w="5000" w:type="pct"/>
        <w:tblInd w:w="0" w:type="dxa"/>
        <w:tblLayout w:type="autofit"/>
        <w:tblCellMar>
          <w:top w:w="0" w:type="dxa"/>
          <w:left w:w="108" w:type="dxa"/>
          <w:bottom w:w="0" w:type="dxa"/>
          <w:right w:w="108" w:type="dxa"/>
        </w:tblCellMar>
      </w:tblPr>
      <w:tblGrid>
        <w:gridCol w:w="1124"/>
        <w:gridCol w:w="2276"/>
        <w:gridCol w:w="1571"/>
        <w:gridCol w:w="1986"/>
        <w:gridCol w:w="2443"/>
      </w:tblGrid>
      <w:tr>
        <w:tblPrEx>
          <w:tblCellMar>
            <w:top w:w="0" w:type="dxa"/>
            <w:left w:w="108" w:type="dxa"/>
            <w:bottom w:w="0" w:type="dxa"/>
            <w:right w:w="108" w:type="dxa"/>
          </w:tblCellMar>
        </w:tblPrEx>
        <w:trPr>
          <w:trHeight w:val="707" w:hRule="exact"/>
        </w:trPr>
        <w:tc>
          <w:tcPr>
            <w:tcW w:w="63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项目名称</w:t>
            </w:r>
          </w:p>
        </w:tc>
        <w:tc>
          <w:tcPr>
            <w:tcW w:w="2283" w:type="pct"/>
            <w:gridSpan w:val="2"/>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auto"/>
              <w:ind w:firstLine="0" w:firstLineChars="0"/>
              <w:jc w:val="center"/>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eastAsia="zh-CN"/>
              </w:rPr>
              <w:t>关于群防群治十户联防装备采购项目</w:t>
            </w:r>
          </w:p>
        </w:tc>
        <w:tc>
          <w:tcPr>
            <w:tcW w:w="931"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eastAsia="zh-CN"/>
              </w:rPr>
              <w:t>预算金额</w:t>
            </w:r>
          </w:p>
        </w:tc>
        <w:tc>
          <w:tcPr>
            <w:tcW w:w="1147"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lang w:val="en-US" w:eastAsia="zh-CN"/>
              </w:rPr>
              <w:t>38</w:t>
            </w:r>
            <w:r>
              <w:rPr>
                <w:rFonts w:hint="eastAsia" w:ascii="仿宋" w:hAnsi="仿宋" w:eastAsia="仿宋" w:cs="仿宋"/>
                <w:kern w:val="0"/>
                <w:sz w:val="24"/>
                <w:lang w:val="en-US" w:eastAsia="zh-CN"/>
              </w:rPr>
              <w:t>0000</w:t>
            </w:r>
            <w:r>
              <w:rPr>
                <w:rFonts w:hint="eastAsia" w:ascii="仿宋" w:hAnsi="仿宋" w:eastAsia="仿宋" w:cs="仿宋"/>
                <w:kern w:val="0"/>
                <w:sz w:val="24"/>
              </w:rPr>
              <w:t>元</w:t>
            </w:r>
          </w:p>
        </w:tc>
      </w:tr>
      <w:tr>
        <w:tblPrEx>
          <w:tblCellMar>
            <w:top w:w="0" w:type="dxa"/>
            <w:left w:w="108" w:type="dxa"/>
            <w:bottom w:w="0" w:type="dxa"/>
            <w:right w:w="108" w:type="dxa"/>
          </w:tblCellMar>
        </w:tblPrEx>
        <w:trPr>
          <w:trHeight w:val="567" w:hRule="exact"/>
        </w:trPr>
        <w:tc>
          <w:tcPr>
            <w:tcW w:w="63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采购部门</w:t>
            </w:r>
          </w:p>
        </w:tc>
        <w:tc>
          <w:tcPr>
            <w:tcW w:w="2283" w:type="pct"/>
            <w:gridSpan w:val="2"/>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auto"/>
              <w:ind w:firstLine="0" w:firstLineChars="0"/>
              <w:jc w:val="center"/>
              <w:rPr>
                <w:rFonts w:hint="eastAsia" w:ascii="仿宋_GB2312" w:hAnsi="仿宋_GB2312" w:eastAsia="仿宋_GB2312" w:cs="仿宋_GB2312"/>
                <w:b/>
                <w:bCs/>
                <w:kern w:val="0"/>
                <w:sz w:val="24"/>
                <w:lang w:eastAsia="zh-CN"/>
              </w:rPr>
            </w:pPr>
            <w:r>
              <w:rPr>
                <w:rFonts w:hint="eastAsia" w:ascii="仿宋_GB2312" w:hAnsi="仿宋_GB2312" w:eastAsia="仿宋_GB2312" w:cs="仿宋_GB2312"/>
                <w:kern w:val="0"/>
                <w:sz w:val="24"/>
              </w:rPr>
              <w:t>　</w:t>
            </w:r>
            <w:r>
              <w:rPr>
                <w:rFonts w:hint="eastAsia" w:ascii="仿宋_GB2312" w:hAnsi="仿宋_GB2312" w:eastAsia="仿宋_GB2312" w:cs="仿宋_GB2312"/>
                <w:kern w:val="0"/>
                <w:sz w:val="24"/>
                <w:lang w:eastAsia="zh-CN"/>
              </w:rPr>
              <w:t>平安法治办</w:t>
            </w:r>
          </w:p>
        </w:tc>
        <w:tc>
          <w:tcPr>
            <w:tcW w:w="931"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项目经办人</w:t>
            </w:r>
          </w:p>
        </w:tc>
        <w:tc>
          <w:tcPr>
            <w:tcW w:w="114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eastAsia="zh-CN"/>
              </w:rPr>
              <w:t>纪先生</w:t>
            </w:r>
          </w:p>
        </w:tc>
      </w:tr>
      <w:tr>
        <w:tblPrEx>
          <w:tblCellMar>
            <w:top w:w="0" w:type="dxa"/>
            <w:left w:w="108" w:type="dxa"/>
            <w:bottom w:w="0" w:type="dxa"/>
            <w:right w:w="108" w:type="dxa"/>
          </w:tblCellMar>
        </w:tblPrEx>
        <w:trPr>
          <w:trHeight w:val="240" w:hRule="atLeast"/>
        </w:trPr>
        <w:tc>
          <w:tcPr>
            <w:tcW w:w="63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采购类型</w:t>
            </w:r>
          </w:p>
        </w:tc>
        <w:tc>
          <w:tcPr>
            <w:tcW w:w="1352"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lang w:eastAsia="zh-CN"/>
              </w:rPr>
              <w:t>□</w:t>
            </w:r>
            <w:r>
              <w:rPr>
                <w:rFonts w:hint="eastAsia" w:ascii="仿宋_GB2312" w:hAnsi="仿宋_GB2312" w:eastAsia="仿宋_GB2312" w:cs="仿宋_GB2312"/>
                <w:b/>
                <w:bCs/>
                <w:kern w:val="0"/>
                <w:sz w:val="24"/>
              </w:rPr>
              <w:t>服务类</w:t>
            </w:r>
            <w:r>
              <w:rPr>
                <w:rFonts w:hint="eastAsia" w:ascii="仿宋_GB2312" w:hAnsi="仿宋_GB2312" w:eastAsia="仿宋_GB2312" w:cs="仿宋_GB2312"/>
                <w:kern w:val="0"/>
                <w:sz w:val="24"/>
              </w:rPr>
              <w:t>　</w:t>
            </w:r>
          </w:p>
          <w:p>
            <w:pPr>
              <w:widowControl/>
              <w:spacing w:line="240" w:lineRule="auto"/>
              <w:ind w:firstLine="0" w:firstLineChars="0"/>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lang w:eastAsia="zh-CN"/>
              </w:rPr>
              <w:t>☑</w:t>
            </w:r>
            <w:r>
              <w:rPr>
                <w:rFonts w:hint="eastAsia" w:ascii="仿宋_GB2312" w:hAnsi="仿宋_GB2312" w:eastAsia="仿宋_GB2312" w:cs="仿宋_GB2312"/>
                <w:b/>
                <w:bCs/>
                <w:kern w:val="0"/>
                <w:sz w:val="24"/>
              </w:rPr>
              <w:t>货物类</w:t>
            </w:r>
            <w:r>
              <w:rPr>
                <w:rFonts w:hint="eastAsia" w:ascii="仿宋_GB2312" w:hAnsi="仿宋_GB2312" w:eastAsia="仿宋_GB2312" w:cs="仿宋_GB2312"/>
                <w:kern w:val="0"/>
                <w:sz w:val="24"/>
              </w:rPr>
              <w:t>　</w:t>
            </w:r>
          </w:p>
          <w:p>
            <w:pPr>
              <w:widowControl/>
              <w:spacing w:line="240" w:lineRule="auto"/>
              <w:ind w:firstLine="0" w:firstLineChars="0"/>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rPr>
              <w:t>□工程类</w:t>
            </w:r>
          </w:p>
        </w:tc>
        <w:tc>
          <w:tcPr>
            <w:tcW w:w="931" w:type="pct"/>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采购方式</w:t>
            </w:r>
          </w:p>
        </w:tc>
        <w:tc>
          <w:tcPr>
            <w:tcW w:w="207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□直接确定供应商（3万元以下）□询价</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b/>
                <w:bCs/>
                <w:kern w:val="0"/>
                <w:sz w:val="24"/>
              </w:rPr>
              <w:t xml:space="preserve">□直接确定供应商（特殊）   </w:t>
            </w:r>
            <w:r>
              <w:rPr>
                <w:rFonts w:hint="eastAsia" w:ascii="仿宋_GB2312" w:hAnsi="仿宋_GB2312" w:eastAsia="仿宋_GB2312" w:cs="仿宋_GB2312"/>
                <w:b/>
                <w:bCs/>
                <w:kern w:val="0"/>
                <w:sz w:val="24"/>
                <w:lang w:eastAsia="zh-CN"/>
              </w:rPr>
              <w:t>☑</w:t>
            </w:r>
            <w:r>
              <w:rPr>
                <w:rFonts w:hint="eastAsia" w:ascii="仿宋_GB2312" w:hAnsi="仿宋_GB2312" w:eastAsia="仿宋_GB2312" w:cs="仿宋_GB2312"/>
                <w:b/>
                <w:bCs/>
                <w:kern w:val="0"/>
                <w:sz w:val="24"/>
              </w:rPr>
              <w:t>比价谈判</w:t>
            </w:r>
          </w:p>
        </w:tc>
      </w:tr>
      <w:tr>
        <w:tblPrEx>
          <w:tblCellMar>
            <w:top w:w="0" w:type="dxa"/>
            <w:left w:w="108" w:type="dxa"/>
            <w:bottom w:w="0" w:type="dxa"/>
            <w:right w:w="108" w:type="dxa"/>
          </w:tblCellMar>
        </w:tblPrEx>
        <w:trPr>
          <w:trHeight w:val="680" w:hRule="atLeast"/>
        </w:trPr>
        <w:tc>
          <w:tcPr>
            <w:tcW w:w="63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项目背景</w:t>
            </w:r>
          </w:p>
        </w:tc>
        <w:tc>
          <w:tcPr>
            <w:tcW w:w="4361" w:type="pct"/>
            <w:gridSpan w:val="4"/>
            <w:tcBorders>
              <w:top w:val="single" w:color="auto" w:sz="4" w:space="0"/>
              <w:left w:val="nil"/>
              <w:bottom w:val="single" w:color="auto" w:sz="4" w:space="0"/>
              <w:right w:val="single" w:color="auto" w:sz="4" w:space="0"/>
            </w:tcBorders>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firstLine="480" w:firstLineChars="200"/>
              <w:jc w:val="left"/>
              <w:textAlignment w:val="auto"/>
              <w:outlineLvl w:val="9"/>
              <w:rPr>
                <w:rFonts w:ascii="仿宋_GB2312" w:hAnsi="仿宋_GB2312" w:eastAsia="仿宋_GB2312" w:cs="仿宋_GB2312"/>
                <w:kern w:val="0"/>
                <w:sz w:val="24"/>
              </w:rPr>
            </w:pPr>
            <w:r>
              <w:rPr>
                <w:rFonts w:hint="eastAsia" w:ascii="仿宋_GB2312" w:hAnsi="仿宋_GB2312" w:eastAsia="仿宋_GB2312" w:cs="仿宋_GB2312"/>
                <w:kern w:val="0"/>
                <w:sz w:val="24"/>
                <w:szCs w:val="24"/>
                <w:lang w:val="en-US" w:eastAsia="zh-CN" w:bidi="ar-SA"/>
              </w:rPr>
              <w:t>为加强辖区十户联防建设，进一步夯实社会面防控基础，为福保派出所配备相应的装备器材</w:t>
            </w:r>
          </w:p>
        </w:tc>
      </w:tr>
      <w:tr>
        <w:tblPrEx>
          <w:tblCellMar>
            <w:top w:w="0" w:type="dxa"/>
            <w:left w:w="108" w:type="dxa"/>
            <w:bottom w:w="0" w:type="dxa"/>
            <w:right w:w="108" w:type="dxa"/>
          </w:tblCellMar>
        </w:tblPrEx>
        <w:trPr>
          <w:trHeight w:val="712" w:hRule="atLeast"/>
        </w:trPr>
        <w:tc>
          <w:tcPr>
            <w:tcW w:w="639"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项目需求</w:t>
            </w:r>
          </w:p>
        </w:tc>
        <w:tc>
          <w:tcPr>
            <w:tcW w:w="4361"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hint="eastAsia" w:ascii="仿宋" w:hAnsi="仿宋" w:eastAsia="仿宋" w:cs="仿宋"/>
                <w:kern w:val="0"/>
                <w:sz w:val="24"/>
              </w:rPr>
            </w:pPr>
            <w:r>
              <w:rPr>
                <w:rFonts w:hint="eastAsia" w:ascii="仿宋" w:hAnsi="仿宋" w:eastAsia="仿宋" w:cs="仿宋"/>
                <w:kern w:val="0"/>
                <w:sz w:val="24"/>
              </w:rPr>
              <w:t>项目技术要求：</w:t>
            </w:r>
          </w:p>
          <w:p>
            <w:pPr>
              <w:keepNext w:val="0"/>
              <w:keepLines w:val="0"/>
              <w:widowControl/>
              <w:numPr>
                <w:ilvl w:val="0"/>
                <w:numId w:val="0"/>
              </w:numPr>
              <w:suppressLineNumbers w:val="0"/>
              <w:jc w:val="left"/>
              <w:rPr>
                <w:rFonts w:ascii="仿宋_GB2312" w:hAnsi="仿宋_GB2312" w:eastAsia="仿宋_GB2312" w:cs="仿宋_GB2312"/>
                <w:kern w:val="0"/>
                <w:sz w:val="24"/>
              </w:rPr>
            </w:pPr>
            <w:r>
              <w:rPr>
                <w:rFonts w:hint="eastAsia" w:ascii="仿宋_GB2312" w:hAnsi="仿宋_GB2312" w:eastAsia="仿宋_GB2312" w:cs="仿宋_GB2312"/>
                <w:b/>
                <w:bCs/>
                <w:kern w:val="0"/>
                <w:sz w:val="24"/>
                <w:lang w:val="en-US" w:eastAsia="zh-CN"/>
              </w:rPr>
              <w:t>具体需求和数量详见附件清单</w:t>
            </w:r>
          </w:p>
        </w:tc>
      </w:tr>
      <w:tr>
        <w:tblPrEx>
          <w:tblCellMar>
            <w:top w:w="0" w:type="dxa"/>
            <w:left w:w="108" w:type="dxa"/>
            <w:bottom w:w="0" w:type="dxa"/>
            <w:right w:w="108" w:type="dxa"/>
          </w:tblCellMar>
        </w:tblPrEx>
        <w:trPr>
          <w:trHeight w:val="3070" w:hRule="atLeast"/>
        </w:trPr>
        <w:tc>
          <w:tcPr>
            <w:tcW w:w="639"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_GB2312" w:hAnsi="仿宋_GB2312" w:eastAsia="仿宋_GB2312" w:cs="仿宋_GB2312"/>
                <w:kern w:val="0"/>
                <w:sz w:val="24"/>
              </w:rPr>
            </w:pPr>
          </w:p>
        </w:tc>
        <w:tc>
          <w:tcPr>
            <w:tcW w:w="4361"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hint="eastAsia"/>
              </w:rPr>
            </w:pPr>
            <w:r>
              <w:rPr>
                <w:rFonts w:hint="eastAsia"/>
              </w:rPr>
              <w:t>项目商务要求：</w:t>
            </w:r>
          </w:p>
          <w:p>
            <w:pPr>
              <w:widowControl/>
              <w:numPr>
                <w:ilvl w:val="0"/>
                <w:numId w:val="1"/>
              </w:numPr>
              <w:spacing w:line="240" w:lineRule="auto"/>
              <w:jc w:val="left"/>
              <w:rPr>
                <w:rFonts w:hint="eastAsia"/>
                <w:lang w:val="en-US" w:eastAsia="zh-CN"/>
              </w:rPr>
            </w:pPr>
            <w:r>
              <w:rPr>
                <w:rFonts w:hint="eastAsia"/>
              </w:rPr>
              <w:t>服务期限：</w:t>
            </w:r>
            <w:r>
              <w:rPr>
                <w:rFonts w:hint="eastAsia"/>
                <w:lang w:val="en-US" w:eastAsia="zh-CN"/>
              </w:rPr>
              <w:t>自合同签订之日起至验收为止（具体交付日期以甲方通知为准）。</w:t>
            </w:r>
          </w:p>
          <w:p>
            <w:pPr>
              <w:widowControl/>
              <w:spacing w:line="240" w:lineRule="auto"/>
              <w:ind w:firstLine="0" w:firstLineChars="0"/>
              <w:jc w:val="left"/>
              <w:rPr>
                <w:rFonts w:hint="eastAsia"/>
                <w:lang w:val="en-US" w:eastAsia="zh-CN"/>
              </w:rPr>
            </w:pPr>
            <w:r>
              <w:rPr>
                <w:rFonts w:hint="eastAsia"/>
                <w:lang w:val="en-US" w:eastAsia="zh-CN"/>
              </w:rPr>
              <w:t>2.由中标供应商负责配送至指定地点，具体交付日期以甲方通知为准；</w:t>
            </w:r>
          </w:p>
          <w:p>
            <w:pPr>
              <w:widowControl/>
              <w:spacing w:line="240" w:lineRule="auto"/>
              <w:ind w:firstLine="0" w:firstLineChars="0"/>
              <w:jc w:val="left"/>
              <w:rPr>
                <w:rFonts w:hint="eastAsia"/>
              </w:rPr>
            </w:pPr>
            <w:r>
              <w:rPr>
                <w:rFonts w:hint="eastAsia"/>
              </w:rPr>
              <w:t>2.付款方式：</w:t>
            </w:r>
          </w:p>
          <w:p>
            <w:pPr>
              <w:widowControl/>
              <w:spacing w:line="240" w:lineRule="auto"/>
              <w:ind w:firstLine="0" w:firstLineChars="0"/>
              <w:jc w:val="left"/>
              <w:rPr>
                <w:rFonts w:hint="eastAsia"/>
              </w:rPr>
            </w:pPr>
            <w:r>
              <w:rPr>
                <w:rFonts w:hint="eastAsia"/>
              </w:rPr>
              <w:t>一次性付款：项目验收合格后，中标供应商提供符合规定的发票后，街道办一次性支付合同总额100%。）</w:t>
            </w:r>
            <w:r>
              <w:rPr>
                <w:rFonts w:hint="eastAsia"/>
                <w:lang w:eastAsia="zh-CN"/>
              </w:rPr>
              <w:t>，</w:t>
            </w:r>
            <w:r>
              <w:rPr>
                <w:rFonts w:hint="eastAsia"/>
              </w:rPr>
              <w:t>因中标供应商延迟提供税务发票或因采购方经费审批流程原因造成延误的，采购方付款时间相应顺延。</w:t>
            </w:r>
          </w:p>
          <w:p>
            <w:pPr>
              <w:widowControl/>
              <w:spacing w:line="240" w:lineRule="auto"/>
              <w:ind w:firstLine="0" w:firstLineChars="0"/>
              <w:jc w:val="left"/>
              <w:rPr>
                <w:rFonts w:hint="eastAsia"/>
                <w:lang w:val="en-US" w:eastAsia="zh-CN"/>
              </w:rPr>
            </w:pPr>
            <w:r>
              <w:rPr>
                <w:rFonts w:hint="eastAsia"/>
              </w:rPr>
              <w:t>3.报价要求：</w:t>
            </w:r>
            <w:r>
              <w:rPr>
                <w:rFonts w:hint="eastAsia"/>
                <w:lang w:val="en-US" w:eastAsia="zh-CN"/>
              </w:rPr>
              <w:t>本项目预算金额：人民币38万元，响应报价超过项目预算金额的视为无效响应。最终合同签订价格以我单位聘请的第三方审计价格为准；响应总价必须是完成该项目的一切费用总和，包括涉及的各项服务费，以及国家规定的各项税费等一切费用。</w:t>
            </w:r>
          </w:p>
          <w:p>
            <w:pPr>
              <w:widowControl/>
              <w:spacing w:line="240" w:lineRule="auto"/>
              <w:ind w:firstLine="0" w:firstLineChars="0"/>
              <w:jc w:val="left"/>
              <w:rPr>
                <w:rFonts w:hint="eastAsia"/>
              </w:rPr>
            </w:pPr>
            <w:r>
              <w:rPr>
                <w:rFonts w:hint="eastAsia"/>
              </w:rPr>
              <w:t>4.违约责任</w:t>
            </w:r>
            <w:r>
              <w:rPr>
                <w:rFonts w:hint="eastAsia"/>
                <w:lang w:eastAsia="zh-CN"/>
              </w:rPr>
              <w:t>：</w:t>
            </w:r>
            <w:r>
              <w:rPr>
                <w:rFonts w:hint="eastAsia"/>
                <w:lang w:val="en-US" w:eastAsia="zh-CN"/>
              </w:rPr>
              <w:t>乙方及其工作人员不履行或未按照合同约定履行服务的，甲方有权要求乙方改正，乙方拒不改正并有权要求乙方按照本合同总费用的20%向甲方支付违约金。因乙方派出服务人员违法或失职行为造成甲方或第三方损害的，乙方承担由此产生的经济责任和法律责任。乙方擅自将合同义务的全部或者部分转让给第三人的，甲方有权解除合同，并要求乙方承担合同总费用10%的违约金。</w:t>
            </w:r>
          </w:p>
          <w:p>
            <w:pPr>
              <w:widowControl/>
              <w:spacing w:line="240" w:lineRule="auto"/>
              <w:ind w:firstLine="0" w:firstLineChars="0"/>
              <w:jc w:val="left"/>
              <w:rPr>
                <w:rFonts w:hint="eastAsia"/>
                <w:lang w:val="en-US" w:eastAsia="zh-CN"/>
              </w:rPr>
            </w:pPr>
            <w:r>
              <w:rPr>
                <w:rFonts w:hint="eastAsia"/>
              </w:rPr>
              <w:t>5.其他</w:t>
            </w:r>
            <w:r>
              <w:rPr>
                <w:rFonts w:hint="eastAsia"/>
                <w:lang w:eastAsia="zh-CN"/>
              </w:rPr>
              <w:t>：</w:t>
            </w:r>
            <w:r>
              <w:rPr>
                <w:rFonts w:hint="eastAsia"/>
                <w:lang w:val="en-US" w:eastAsia="zh-CN"/>
              </w:rPr>
              <w:t>合同未尽之约定，由甲乙双方另行协商解决。</w:t>
            </w:r>
          </w:p>
          <w:p>
            <w:pPr>
              <w:pStyle w:val="2"/>
              <w:rPr>
                <w:rFonts w:hint="eastAsia"/>
              </w:rPr>
            </w:pPr>
            <w:r>
              <w:rPr>
                <w:rFonts w:hint="eastAsia" w:ascii="仿宋_GB2312" w:hAnsi="仿宋_GB2312" w:eastAsia="仿宋_GB2312" w:cs="仿宋_GB2312"/>
                <w:b/>
                <w:bCs/>
                <w:kern w:val="0"/>
                <w:sz w:val="24"/>
                <w:lang w:val="en-US" w:eastAsia="zh-CN"/>
              </w:rPr>
              <w:t>备注：最终合同签订价格以我单位聘请的第三方审计价格为准。</w:t>
            </w:r>
          </w:p>
        </w:tc>
      </w:tr>
      <w:tr>
        <w:tblPrEx>
          <w:tblCellMar>
            <w:top w:w="0" w:type="dxa"/>
            <w:left w:w="108" w:type="dxa"/>
            <w:bottom w:w="0" w:type="dxa"/>
            <w:right w:w="108" w:type="dxa"/>
          </w:tblCellMar>
        </w:tblPrEx>
        <w:trPr>
          <w:trHeight w:val="1430" w:hRule="atLeast"/>
        </w:trPr>
        <w:tc>
          <w:tcPr>
            <w:tcW w:w="639"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投标人资质要求</w:t>
            </w:r>
          </w:p>
        </w:tc>
        <w:tc>
          <w:tcPr>
            <w:tcW w:w="4361"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hint="eastAsia"/>
                <w:lang w:val="en-US" w:eastAsia="zh-CN"/>
              </w:rPr>
            </w:pPr>
            <w:r>
              <w:rPr>
                <w:rFonts w:hint="eastAsia"/>
                <w:lang w:val="en-US" w:eastAsia="zh-CN"/>
              </w:rPr>
              <w:t>1.具有独立法人资格或具有独立承担民事责任的能力的其它组织（提供营业执照或事业单位法人证等法人证明扫描件，原件备查）。</w:t>
            </w:r>
          </w:p>
          <w:p>
            <w:pPr>
              <w:widowControl/>
              <w:spacing w:line="240" w:lineRule="auto"/>
              <w:ind w:firstLine="0" w:firstLineChars="0"/>
              <w:jc w:val="left"/>
              <w:rPr>
                <w:rFonts w:hint="eastAsia"/>
                <w:lang w:val="en-US" w:eastAsia="zh-CN"/>
              </w:rPr>
            </w:pPr>
            <w:r>
              <w:rPr>
                <w:rFonts w:hint="eastAsia"/>
                <w:lang w:val="en-US" w:eastAsia="zh-CN"/>
              </w:rPr>
              <w:t>2.本项目不接受联合体投标。</w:t>
            </w:r>
          </w:p>
          <w:p>
            <w:pPr>
              <w:widowControl/>
              <w:spacing w:line="240" w:lineRule="auto"/>
              <w:ind w:firstLine="0" w:firstLineChars="0"/>
              <w:jc w:val="left"/>
              <w:rPr>
                <w:rFonts w:hint="eastAsia" w:ascii="仿宋" w:hAnsi="仿宋" w:eastAsia="仿宋" w:cs="仿宋"/>
                <w:kern w:val="0"/>
                <w:sz w:val="24"/>
              </w:rPr>
            </w:pPr>
            <w:r>
              <w:rPr>
                <w:rFonts w:hint="eastAsia"/>
                <w:lang w:val="en-US" w:eastAsia="zh-CN"/>
              </w:rPr>
              <w:t>3.参与本项目投标前三年内，在经营活动中没有重大违法记录；参与本项目政府采购活动时不存在被有关部门禁止参与政府采购活动且在有效期内的情况；具备《中华人民共和国政府采购法》第二十二条第一款的条件；参与政府采购项目投标的供应商未被列入失信被执行人、重大税收违法案件当事人名单、政府采购严重违法失信行为记录名单。</w:t>
            </w:r>
          </w:p>
        </w:tc>
      </w:tr>
      <w:tr>
        <w:tblPrEx>
          <w:tblCellMar>
            <w:top w:w="0" w:type="dxa"/>
            <w:left w:w="108" w:type="dxa"/>
            <w:bottom w:w="0" w:type="dxa"/>
            <w:right w:w="108" w:type="dxa"/>
          </w:tblCellMar>
        </w:tblPrEx>
        <w:trPr>
          <w:trHeight w:val="1270" w:hRule="atLeast"/>
        </w:trPr>
        <w:tc>
          <w:tcPr>
            <w:tcW w:w="639"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投标人需提供资料</w:t>
            </w:r>
          </w:p>
        </w:tc>
        <w:tc>
          <w:tcPr>
            <w:tcW w:w="4361" w:type="pct"/>
            <w:gridSpan w:val="4"/>
            <w:tcBorders>
              <w:top w:val="single" w:color="auto" w:sz="4" w:space="0"/>
              <w:left w:val="nil"/>
              <w:bottom w:val="single" w:color="auto" w:sz="4" w:space="0"/>
              <w:right w:val="single" w:color="auto" w:sz="4" w:space="0"/>
            </w:tcBorders>
          </w:tcPr>
          <w:p>
            <w:pPr>
              <w:keepNext w:val="0"/>
              <w:keepLines w:val="0"/>
              <w:pageBreakBefore w:val="0"/>
              <w:widowControl/>
              <w:numPr>
                <w:ilvl w:val="0"/>
                <w:numId w:val="2"/>
              </w:numPr>
              <w:kinsoku/>
              <w:wordWrap/>
              <w:overflowPunct/>
              <w:topLinePunct w:val="0"/>
              <w:autoSpaceDE/>
              <w:autoSpaceDN/>
              <w:bidi w:val="0"/>
              <w:spacing w:line="300" w:lineRule="exact"/>
              <w:ind w:firstLine="0" w:firstLineChars="0"/>
              <w:jc w:val="left"/>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营业执照、经营范围等相关资质复印件；</w:t>
            </w:r>
          </w:p>
          <w:p>
            <w:pPr>
              <w:keepNext w:val="0"/>
              <w:keepLines w:val="0"/>
              <w:pageBreakBefore w:val="0"/>
              <w:widowControl/>
              <w:numPr>
                <w:ilvl w:val="0"/>
                <w:numId w:val="2"/>
              </w:numPr>
              <w:kinsoku/>
              <w:wordWrap/>
              <w:overflowPunct/>
              <w:topLinePunct w:val="0"/>
              <w:autoSpaceDE/>
              <w:autoSpaceDN/>
              <w:bidi w:val="0"/>
              <w:spacing w:line="300" w:lineRule="exact"/>
              <w:ind w:left="0" w:leftChars="0" w:firstLine="0" w:firstLineChars="0"/>
              <w:jc w:val="left"/>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投标报价单</w:t>
            </w:r>
            <w:r>
              <w:rPr>
                <w:rFonts w:hint="eastAsia" w:ascii="仿宋_GB2312" w:hAnsi="仿宋_GB2312" w:eastAsia="仿宋_GB2312" w:cs="仿宋_GB2312"/>
                <w:kern w:val="0"/>
                <w:sz w:val="24"/>
              </w:rPr>
              <w:t>（包含</w:t>
            </w:r>
            <w:r>
              <w:rPr>
                <w:rFonts w:hint="eastAsia" w:ascii="仿宋_GB2312" w:hAnsi="仿宋_GB2312" w:eastAsia="仿宋_GB2312" w:cs="仿宋_GB2312"/>
                <w:kern w:val="0"/>
                <w:sz w:val="24"/>
                <w:lang w:eastAsia="zh-CN"/>
              </w:rPr>
              <w:t>材质、基本参数、价格等</w:t>
            </w:r>
            <w:r>
              <w:rPr>
                <w:rFonts w:hint="eastAsia" w:ascii="仿宋_GB2312" w:hAnsi="仿宋_GB2312" w:eastAsia="仿宋_GB2312" w:cs="仿宋_GB2312"/>
                <w:kern w:val="0"/>
                <w:sz w:val="24"/>
              </w:rPr>
              <w:t>）</w:t>
            </w:r>
            <w:r>
              <w:rPr>
                <w:rFonts w:hint="eastAsia" w:ascii="仿宋" w:hAnsi="仿宋" w:eastAsia="仿宋" w:cs="仿宋"/>
                <w:kern w:val="0"/>
                <w:sz w:val="24"/>
                <w:lang w:val="en-US" w:eastAsia="zh-CN"/>
              </w:rPr>
              <w:t>；</w:t>
            </w:r>
          </w:p>
          <w:p>
            <w:pPr>
              <w:keepNext w:val="0"/>
              <w:keepLines w:val="0"/>
              <w:pageBreakBefore w:val="0"/>
              <w:widowControl/>
              <w:kinsoku/>
              <w:wordWrap/>
              <w:overflowPunct/>
              <w:topLinePunct w:val="0"/>
              <w:autoSpaceDE/>
              <w:autoSpaceDN/>
              <w:bidi w:val="0"/>
              <w:spacing w:line="300" w:lineRule="exact"/>
              <w:ind w:firstLine="0" w:firstLineChars="0"/>
              <w:jc w:val="left"/>
              <w:textAlignment w:val="auto"/>
              <w:rPr>
                <w:rFonts w:hint="default" w:ascii="仿宋_GB2312" w:hAnsi="仿宋_GB2312" w:eastAsia="仿宋_GB2312" w:cs="仿宋_GB2312"/>
                <w:kern w:val="0"/>
                <w:sz w:val="24"/>
                <w:lang w:val="en-US" w:eastAsia="zh-CN"/>
              </w:rPr>
            </w:pPr>
            <w:r>
              <w:rPr>
                <w:rFonts w:hint="eastAsia" w:ascii="仿宋" w:hAnsi="仿宋" w:eastAsia="仿宋" w:cs="仿宋"/>
                <w:kern w:val="0"/>
                <w:sz w:val="24"/>
                <w:lang w:val="en-US" w:eastAsia="zh-CN"/>
              </w:rPr>
              <w:t>3、</w:t>
            </w:r>
            <w:r>
              <w:rPr>
                <w:rFonts w:hint="eastAsia" w:ascii="仿宋_GB2312" w:hAnsi="仿宋_GB2312" w:eastAsia="仿宋_GB2312" w:cs="仿宋_GB2312"/>
                <w:kern w:val="0"/>
                <w:sz w:val="24"/>
                <w:lang w:val="en-US" w:eastAsia="zh-CN"/>
              </w:rPr>
              <w:t>加盖公章的《供应商基本情况表》必填（详见附件2）</w:t>
            </w:r>
          </w:p>
          <w:p>
            <w:pPr>
              <w:keepNext w:val="0"/>
              <w:keepLines w:val="0"/>
              <w:pageBreakBefore w:val="0"/>
              <w:widowControl/>
              <w:kinsoku/>
              <w:wordWrap/>
              <w:overflowPunct/>
              <w:topLinePunct w:val="0"/>
              <w:autoSpaceDE/>
              <w:autoSpaceDN/>
              <w:bidi w:val="0"/>
              <w:spacing w:line="300" w:lineRule="exact"/>
              <w:ind w:firstLine="0" w:firstLineChars="0"/>
              <w:jc w:val="left"/>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4、对此项目的运营提供详细的服务方案</w:t>
            </w:r>
            <w:r>
              <w:rPr>
                <w:rFonts w:hint="eastAsia" w:ascii="仿宋_GB2312" w:hAnsi="仿宋_GB2312" w:eastAsia="仿宋_GB2312" w:cs="仿宋_GB2312"/>
                <w:kern w:val="0"/>
                <w:sz w:val="24"/>
                <w:lang w:eastAsia="zh-CN"/>
              </w:rPr>
              <w:t>（售后服务或技术服务等相关方案）</w:t>
            </w:r>
            <w:r>
              <w:rPr>
                <w:rFonts w:hint="eastAsia" w:ascii="仿宋" w:hAnsi="仿宋" w:eastAsia="仿宋" w:cs="仿宋"/>
                <w:kern w:val="0"/>
                <w:sz w:val="24"/>
                <w:lang w:val="en-US" w:eastAsia="zh-CN"/>
              </w:rPr>
              <w:t>；</w:t>
            </w:r>
          </w:p>
          <w:p>
            <w:pPr>
              <w:keepNext w:val="0"/>
              <w:keepLines w:val="0"/>
              <w:pageBreakBefore w:val="0"/>
              <w:widowControl/>
              <w:kinsoku/>
              <w:wordWrap/>
              <w:overflowPunct/>
              <w:topLinePunct w:val="0"/>
              <w:autoSpaceDE/>
              <w:autoSpaceDN/>
              <w:bidi w:val="0"/>
              <w:spacing w:line="300" w:lineRule="exact"/>
              <w:ind w:firstLine="0" w:firstLineChars="0"/>
              <w:jc w:val="left"/>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5、公司详细简介；</w:t>
            </w:r>
          </w:p>
          <w:p>
            <w:pPr>
              <w:keepNext w:val="0"/>
              <w:keepLines w:val="0"/>
              <w:pageBreakBefore w:val="0"/>
              <w:widowControl/>
              <w:kinsoku/>
              <w:wordWrap/>
              <w:overflowPunct/>
              <w:topLinePunct w:val="0"/>
              <w:autoSpaceDE/>
              <w:autoSpaceDN/>
              <w:bidi w:val="0"/>
              <w:spacing w:line="300" w:lineRule="exact"/>
              <w:ind w:firstLine="0" w:firstLineChars="0"/>
              <w:jc w:val="left"/>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6、项目相关案例、业绩等；</w:t>
            </w:r>
          </w:p>
          <w:p>
            <w:pPr>
              <w:keepNext w:val="0"/>
              <w:keepLines w:val="0"/>
              <w:pageBreakBefore w:val="0"/>
              <w:widowControl/>
              <w:kinsoku/>
              <w:wordWrap/>
              <w:overflowPunct/>
              <w:topLinePunct w:val="0"/>
              <w:autoSpaceDE/>
              <w:autoSpaceDN/>
              <w:bidi w:val="0"/>
              <w:spacing w:line="300" w:lineRule="exact"/>
              <w:ind w:firstLine="0" w:firstLineChars="0"/>
              <w:jc w:val="left"/>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7、参与本项目投标前三年内，在经营活动中没有重大违法记录；参与本项目政府采购活动时不存在被有关部门禁止参与政府采购活动且在有效期内的情况；具备《中华人民共和国政府采购法》第二十二条第一款的条件；参与政府采购项目投标的供应商未被列入失信被执行人、重大税收违法案件当事人名单、政府采购严重违法失信行为记录名单。投标人需提供声明函</w:t>
            </w:r>
            <w:bookmarkStart w:id="0" w:name="_GoBack"/>
            <w:bookmarkEnd w:id="0"/>
            <w:r>
              <w:rPr>
                <w:rFonts w:hint="eastAsia" w:ascii="仿宋" w:hAnsi="仿宋" w:eastAsia="仿宋" w:cs="仿宋"/>
                <w:kern w:val="0"/>
                <w:sz w:val="24"/>
                <w:lang w:val="en-US" w:eastAsia="zh-CN"/>
              </w:rPr>
              <w:t>并加盖公章。（声明函格式自拟）；</w:t>
            </w:r>
          </w:p>
          <w:p>
            <w:pPr>
              <w:keepNext w:val="0"/>
              <w:keepLines w:val="0"/>
              <w:pageBreakBefore w:val="0"/>
              <w:widowControl/>
              <w:kinsoku/>
              <w:wordWrap/>
              <w:overflowPunct/>
              <w:topLinePunct w:val="0"/>
              <w:autoSpaceDE/>
              <w:autoSpaceDN/>
              <w:bidi w:val="0"/>
              <w:spacing w:line="300" w:lineRule="exact"/>
              <w:ind w:firstLine="0" w:firstLineChars="0"/>
              <w:jc w:val="left"/>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8、可体现投标人综合实力及运营管理能力的其他资料。</w:t>
            </w:r>
          </w:p>
          <w:p>
            <w:pPr>
              <w:widowControl/>
              <w:spacing w:line="240" w:lineRule="auto"/>
              <w:ind w:firstLine="0" w:firstLineChars="0"/>
              <w:jc w:val="left"/>
              <w:rPr>
                <w:rFonts w:hint="eastAsia" w:ascii="仿宋" w:hAnsi="仿宋" w:eastAsia="仿宋" w:cs="仿宋"/>
                <w:kern w:val="0"/>
                <w:sz w:val="24"/>
              </w:rPr>
            </w:pPr>
            <w:r>
              <w:rPr>
                <w:rFonts w:hint="eastAsia" w:ascii="仿宋" w:hAnsi="仿宋" w:eastAsia="仿宋" w:cs="仿宋"/>
                <w:b/>
                <w:bCs/>
                <w:kern w:val="0"/>
                <w:sz w:val="24"/>
                <w:lang w:eastAsia="zh-CN"/>
              </w:rPr>
              <w:t>以上文件均需每页加盖单位公章并装订成册，且应将资料密封存入不透明文件袋中，贴密封条并加盖公章，否则视为无效投标</w:t>
            </w:r>
            <w:r>
              <w:rPr>
                <w:rFonts w:hint="eastAsia" w:ascii="仿宋" w:hAnsi="仿宋" w:eastAsia="仿宋" w:cs="仿宋"/>
                <w:b/>
                <w:bCs/>
                <w:kern w:val="0"/>
                <w:sz w:val="24"/>
              </w:rPr>
              <w:t>，文件</w:t>
            </w:r>
            <w:r>
              <w:rPr>
                <w:rFonts w:hint="eastAsia" w:ascii="仿宋" w:hAnsi="仿宋" w:eastAsia="仿宋" w:cs="仿宋"/>
                <w:b/>
                <w:bCs/>
                <w:kern w:val="0"/>
                <w:sz w:val="24"/>
                <w:lang w:eastAsia="zh-CN"/>
              </w:rPr>
              <w:t>袋</w:t>
            </w:r>
            <w:r>
              <w:rPr>
                <w:rFonts w:hint="eastAsia" w:ascii="仿宋" w:hAnsi="仿宋" w:eastAsia="仿宋" w:cs="仿宋"/>
                <w:b/>
                <w:bCs/>
                <w:kern w:val="0"/>
                <w:sz w:val="24"/>
              </w:rPr>
              <w:t>封面请注明</w:t>
            </w:r>
            <w:r>
              <w:rPr>
                <w:rFonts w:hint="eastAsia" w:ascii="仿宋" w:hAnsi="仿宋" w:eastAsia="仿宋" w:cs="仿宋"/>
                <w:b/>
                <w:bCs/>
                <w:kern w:val="0"/>
                <w:sz w:val="24"/>
                <w:lang w:eastAsia="zh-CN"/>
              </w:rPr>
              <w:t>投标项目名称、投标日期、</w:t>
            </w:r>
            <w:r>
              <w:rPr>
                <w:rFonts w:hint="eastAsia" w:ascii="仿宋" w:hAnsi="仿宋" w:eastAsia="仿宋" w:cs="仿宋"/>
                <w:b/>
                <w:bCs/>
                <w:kern w:val="0"/>
                <w:sz w:val="24"/>
              </w:rPr>
              <w:t>公司名称、联系人及联系电话。本项目接受邮寄递交</w:t>
            </w:r>
            <w:r>
              <w:rPr>
                <w:rFonts w:hint="eastAsia" w:ascii="仿宋" w:hAnsi="仿宋" w:eastAsia="仿宋" w:cs="仿宋"/>
                <w:b/>
                <w:bCs/>
                <w:kern w:val="0"/>
                <w:sz w:val="24"/>
                <w:lang w:eastAsia="zh-CN"/>
              </w:rPr>
              <w:t>，</w:t>
            </w:r>
            <w:r>
              <w:rPr>
                <w:rFonts w:hint="eastAsia" w:ascii="仿宋" w:hAnsi="仿宋" w:eastAsia="仿宋" w:cs="仿宋"/>
                <w:b/>
                <w:bCs/>
                <w:kern w:val="0"/>
                <w:sz w:val="24"/>
              </w:rPr>
              <w:t>递交地址及联系方式：</w:t>
            </w:r>
            <w:r>
              <w:rPr>
                <w:rFonts w:hint="eastAsia" w:ascii="仿宋" w:hAnsi="仿宋" w:eastAsia="仿宋" w:cs="仿宋"/>
                <w:b/>
                <w:bCs/>
                <w:kern w:val="0"/>
                <w:sz w:val="24"/>
                <w:lang w:eastAsia="zh-CN"/>
              </w:rPr>
              <w:t>深圳市福田区福保街道办事处综治中心</w:t>
            </w:r>
            <w:r>
              <w:rPr>
                <w:rFonts w:hint="eastAsia" w:ascii="仿宋" w:hAnsi="仿宋" w:eastAsia="仿宋" w:cs="仿宋"/>
                <w:b/>
                <w:bCs/>
                <w:kern w:val="0"/>
                <w:sz w:val="24"/>
                <w:lang w:val="en-US" w:eastAsia="zh-CN"/>
              </w:rPr>
              <w:t>3楼302</w:t>
            </w:r>
            <w:r>
              <w:rPr>
                <w:rFonts w:hint="eastAsia" w:ascii="仿宋" w:hAnsi="仿宋" w:eastAsia="仿宋" w:cs="仿宋"/>
                <w:b/>
                <w:bCs/>
                <w:kern w:val="0"/>
                <w:sz w:val="24"/>
              </w:rPr>
              <w:t>，</w:t>
            </w:r>
            <w:r>
              <w:rPr>
                <w:rFonts w:hint="eastAsia" w:ascii="仿宋" w:hAnsi="仿宋" w:eastAsia="仿宋" w:cs="仿宋"/>
                <w:b/>
                <w:bCs/>
                <w:kern w:val="0"/>
                <w:sz w:val="24"/>
                <w:lang w:eastAsia="zh-CN"/>
              </w:rPr>
              <w:t>李女士：</w:t>
            </w:r>
            <w:r>
              <w:rPr>
                <w:rFonts w:hint="eastAsia" w:ascii="仿宋" w:hAnsi="仿宋" w:eastAsia="仿宋" w:cs="仿宋"/>
                <w:b/>
                <w:bCs/>
                <w:kern w:val="0"/>
                <w:sz w:val="24"/>
                <w:lang w:val="en-US" w:eastAsia="zh-CN"/>
              </w:rPr>
              <w:t>0755-83807067。</w:t>
            </w:r>
          </w:p>
        </w:tc>
      </w:tr>
    </w:tbl>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p>
    <w:sectPr>
      <w:footerReference r:id="rId3" w:type="default"/>
      <w:pgSz w:w="11906" w:h="16838"/>
      <w:pgMar w:top="1361" w:right="1361" w:bottom="1361" w:left="1361"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468CA6"/>
    <w:multiLevelType w:val="singleLevel"/>
    <w:tmpl w:val="29468CA6"/>
    <w:lvl w:ilvl="0" w:tentative="0">
      <w:start w:val="1"/>
      <w:numFmt w:val="decimal"/>
      <w:suff w:val="nothing"/>
      <w:lvlText w:val="%1、"/>
      <w:lvlJc w:val="left"/>
    </w:lvl>
  </w:abstractNum>
  <w:abstractNum w:abstractNumId="1">
    <w:nsid w:val="6B04C3B2"/>
    <w:multiLevelType w:val="singleLevel"/>
    <w:tmpl w:val="6B04C3B2"/>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wZTcxOGRmZTBkZDFlNDA3NmY3MjQxMDQwZjljYjQifQ=="/>
  </w:docVars>
  <w:rsids>
    <w:rsidRoot w:val="194B399D"/>
    <w:rsid w:val="014C5A9D"/>
    <w:rsid w:val="01F76DF9"/>
    <w:rsid w:val="091C13C7"/>
    <w:rsid w:val="0A4669B5"/>
    <w:rsid w:val="0C9A61E2"/>
    <w:rsid w:val="0EF516DF"/>
    <w:rsid w:val="11312983"/>
    <w:rsid w:val="13025792"/>
    <w:rsid w:val="14C24AD9"/>
    <w:rsid w:val="172C00A3"/>
    <w:rsid w:val="18B761FE"/>
    <w:rsid w:val="194B399D"/>
    <w:rsid w:val="1AF3636A"/>
    <w:rsid w:val="1CD203FA"/>
    <w:rsid w:val="1D1041D7"/>
    <w:rsid w:val="1EBE2C34"/>
    <w:rsid w:val="242F79F6"/>
    <w:rsid w:val="251026CF"/>
    <w:rsid w:val="2A7E52EC"/>
    <w:rsid w:val="2C7035F3"/>
    <w:rsid w:val="2E544988"/>
    <w:rsid w:val="2FBB6ACC"/>
    <w:rsid w:val="304A7E50"/>
    <w:rsid w:val="334D7C7F"/>
    <w:rsid w:val="340E45C5"/>
    <w:rsid w:val="3CA774CA"/>
    <w:rsid w:val="3F1434CE"/>
    <w:rsid w:val="416451E2"/>
    <w:rsid w:val="447E6A90"/>
    <w:rsid w:val="457F65D1"/>
    <w:rsid w:val="4795557D"/>
    <w:rsid w:val="4CE4133E"/>
    <w:rsid w:val="4D0A3330"/>
    <w:rsid w:val="4E144BA8"/>
    <w:rsid w:val="4E1E0521"/>
    <w:rsid w:val="4F3F2E1E"/>
    <w:rsid w:val="50762693"/>
    <w:rsid w:val="587C663C"/>
    <w:rsid w:val="5A771A36"/>
    <w:rsid w:val="5AEF2EBC"/>
    <w:rsid w:val="5C8F69B7"/>
    <w:rsid w:val="5EBA216A"/>
    <w:rsid w:val="62307D89"/>
    <w:rsid w:val="659065C4"/>
    <w:rsid w:val="66AD6A92"/>
    <w:rsid w:val="66C374B6"/>
    <w:rsid w:val="6A1555D3"/>
    <w:rsid w:val="6AE93220"/>
    <w:rsid w:val="6E587601"/>
    <w:rsid w:val="79E45B6E"/>
    <w:rsid w:val="7E97605D"/>
    <w:rsid w:val="7F3467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1"/>
    <w:pPr>
      <w:widowControl w:val="0"/>
      <w:autoSpaceDE w:val="0"/>
      <w:autoSpaceDN w:val="0"/>
      <w:spacing w:before="0" w:after="0" w:line="240" w:lineRule="auto"/>
      <w:ind w:left="106" w:right="0"/>
      <w:jc w:val="left"/>
    </w:pPr>
    <w:rPr>
      <w:rFonts w:ascii="仿宋_GB2312" w:hAnsi="仿宋_GB2312" w:eastAsia="仿宋_GB2312" w:cs="仿宋_GB2312"/>
      <w:sz w:val="32"/>
      <w:szCs w:val="32"/>
      <w:lang w:val="zh-CN" w:eastAsia="zh-CN" w:bidi="zh-CN"/>
    </w:rPr>
  </w:style>
  <w:style w:type="paragraph" w:styleId="3">
    <w:name w:val="Normal Indent"/>
    <w:basedOn w:val="1"/>
    <w:qFormat/>
    <w:uiPriority w:val="0"/>
    <w:pPr>
      <w:spacing w:line="560" w:lineRule="exact"/>
      <w:ind w:firstLine="420" w:firstLine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otnote reference"/>
    <w:basedOn w:val="9"/>
    <w:qFormat/>
    <w:uiPriority w:val="0"/>
    <w:rPr>
      <w:vertAlign w:val="superscript"/>
    </w:rPr>
  </w:style>
  <w:style w:type="character" w:customStyle="1" w:styleId="11">
    <w:name w:val="font11"/>
    <w:basedOn w:val="9"/>
    <w:qFormat/>
    <w:uiPriority w:val="0"/>
    <w:rPr>
      <w:rFonts w:hint="eastAsia" w:ascii="仿宋_GB2312" w:eastAsia="仿宋_GB2312" w:cs="仿宋_GB2312"/>
      <w:color w:val="000000"/>
      <w:sz w:val="28"/>
      <w:szCs w:val="28"/>
      <w:u w:val="none"/>
    </w:rPr>
  </w:style>
  <w:style w:type="paragraph" w:customStyle="1" w:styleId="12">
    <w:name w:val="列出段落3"/>
    <w:basedOn w:val="1"/>
    <w:unhideWhenUsed/>
    <w:qFormat/>
    <w:uiPriority w:val="99"/>
    <w:pPr>
      <w:ind w:firstLine="420" w:firstLineChars="200"/>
    </w:pPr>
  </w:style>
  <w:style w:type="paragraph" w:customStyle="1" w:styleId="13">
    <w:name w:val="Heading #1|1"/>
    <w:basedOn w:val="1"/>
    <w:qFormat/>
    <w:uiPriority w:val="0"/>
    <w:pPr>
      <w:spacing w:after="580" w:line="590" w:lineRule="exact"/>
      <w:jc w:val="center"/>
      <w:outlineLvl w:val="0"/>
    </w:pPr>
    <w:rPr>
      <w:rFonts w:ascii="宋体" w:hAnsi="宋体" w:eastAsia="宋体" w:cs="宋体"/>
      <w:sz w:val="44"/>
      <w:szCs w:val="44"/>
      <w:lang w:val="zh-TW" w:eastAsia="zh-TW" w:bidi="zh-TW"/>
    </w:rPr>
  </w:style>
  <w:style w:type="paragraph" w:customStyle="1" w:styleId="14">
    <w:name w:val="Other|1"/>
    <w:basedOn w:val="1"/>
    <w:qFormat/>
    <w:uiPriority w:val="0"/>
    <w:rPr>
      <w:rFonts w:ascii="宋体" w:hAnsi="宋体" w:eastAsia="宋体" w:cs="宋体"/>
      <w:sz w:val="20"/>
      <w:szCs w:val="20"/>
      <w:lang w:val="zh-TW" w:eastAsia="zh-TW" w:bidi="zh-TW"/>
    </w:rPr>
  </w:style>
  <w:style w:type="paragraph" w:customStyle="1" w:styleId="15">
    <w:name w:val="Body text|1"/>
    <w:basedOn w:val="1"/>
    <w:qFormat/>
    <w:uiPriority w:val="0"/>
    <w:pPr>
      <w:spacing w:line="432" w:lineRule="auto"/>
      <w:ind w:firstLine="400"/>
    </w:pPr>
    <w:rPr>
      <w:rFonts w:ascii="宋体" w:hAnsi="宋体" w:eastAsia="宋体" w:cs="宋体"/>
      <w:sz w:val="28"/>
      <w:szCs w:val="28"/>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31</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2023-11-02T01:41:00Z</dcterms:created>
  <dc:creator>lulu</dc:creator>
  <cp:lastModifiedBy>如我一瞬</cp:lastModifiedBy>
  <dcterms:modified xsi:type="dcterms:W3CDTF">2025-06-09T08:58:33Z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083CF6C6FE3B4D159122B362416C2EB0</vt:lpwstr>
  </property>
</Properties>
</file>