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jc w:val="left"/>
        <w:textAlignment w:val="auto"/>
        <w:rPr>
          <w:rFonts w:hint="default"/>
          <w:lang w:val="en-US" w:eastAsia="zh-CN"/>
        </w:rPr>
      </w:pPr>
      <w:r>
        <w:rPr>
          <w:rFonts w:hint="eastAsia" w:ascii="黑体" w:hAnsi="黑体" w:eastAsia="黑体" w:cs="黑体"/>
          <w:i w:val="0"/>
          <w:iCs w:val="0"/>
          <w:caps w:val="0"/>
          <w:color w:val="000000"/>
          <w:spacing w:val="0"/>
          <w:kern w:val="2"/>
          <w:sz w:val="32"/>
          <w:szCs w:val="32"/>
          <w:lang w:val="en-US" w:eastAsia="zh-CN" w:bidi="ar"/>
        </w:rPr>
        <w:t>附件2</w:t>
      </w:r>
    </w:p>
    <w:p>
      <w:pPr>
        <w:keepNext w:val="0"/>
        <w:keepLines w:val="0"/>
        <w:pageBreakBefore w:val="0"/>
        <w:kinsoku/>
        <w:wordWrap/>
        <w:overflowPunct/>
        <w:topLinePunct w:val="0"/>
        <w:autoSpaceDN/>
        <w:bidi w:val="0"/>
        <w:spacing w:line="560" w:lineRule="exact"/>
        <w:jc w:val="center"/>
      </w:pPr>
      <w:r>
        <w:rPr>
          <w:rFonts w:hint="eastAsia" w:ascii="方正小标宋简体" w:hAnsi="方正小标宋简体" w:eastAsia="方正小标宋简体" w:cs="方正小标宋简体"/>
          <w:i w:val="0"/>
          <w:iCs w:val="0"/>
          <w:caps w:val="0"/>
          <w:color w:val="000000"/>
          <w:spacing w:val="0"/>
          <w:kern w:val="2"/>
          <w:sz w:val="44"/>
          <w:szCs w:val="44"/>
          <w:lang w:val="en-US" w:eastAsia="zh-CN" w:bidi="ar"/>
        </w:rPr>
        <w:t>福田区</w:t>
      </w:r>
      <w:r>
        <w:rPr>
          <w:rFonts w:hint="eastAsia" w:ascii="方正小标宋_GBK" w:hAnsi="方正小标宋_GBK" w:eastAsia="方正小标宋_GBK" w:cs="方正小标宋_GBK"/>
          <w:sz w:val="44"/>
          <w:szCs w:val="44"/>
          <w:lang w:val="en-US" w:eastAsia="zh-CN"/>
        </w:rPr>
        <w:t>2025年“南粤家政”基层服务站职业指导项目采购需求</w:t>
      </w:r>
    </w:p>
    <w:p>
      <w:pPr>
        <w:keepNext w:val="0"/>
        <w:keepLines w:val="0"/>
        <w:pageBreakBefore w:val="0"/>
        <w:kinsoku/>
        <w:wordWrap/>
        <w:overflowPunct/>
        <w:topLinePunct w:val="0"/>
        <w:autoSpaceDN/>
        <w:bidi w:val="0"/>
        <w:spacing w:line="560" w:lineRule="exact"/>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b w:val="0"/>
          <w:bCs w:val="0"/>
          <w:i w:val="0"/>
          <w:caps w:val="0"/>
          <w:color w:val="000000"/>
          <w:spacing w:val="0"/>
          <w:sz w:val="32"/>
          <w:szCs w:val="32"/>
          <w:lang w:val="en-US" w:eastAsia="zh-CN"/>
        </w:rPr>
      </w:pPr>
      <w:r>
        <w:rPr>
          <w:rFonts w:hint="eastAsia" w:ascii="黑体" w:hAnsi="黑体" w:eastAsia="黑体" w:cs="黑体"/>
          <w:b w:val="0"/>
          <w:bCs w:val="0"/>
          <w:i w:val="0"/>
          <w:caps w:val="0"/>
          <w:color w:val="000000"/>
          <w:spacing w:val="0"/>
          <w:sz w:val="32"/>
          <w:szCs w:val="32"/>
          <w:lang w:val="en-US" w:eastAsia="zh-CN"/>
        </w:rPr>
        <w:t>一、采购项目概况</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shd w:val="clear" w:color="auto" w:fill="FFFFFF"/>
          <w:lang w:val="en-US" w:eastAsia="zh-CN"/>
        </w:rPr>
      </w:pPr>
      <w:r>
        <w:rPr>
          <w:rFonts w:hint="eastAsia" w:ascii="仿宋_GB2312" w:hAnsi="仿宋_GB2312" w:eastAsia="仿宋_GB2312" w:cs="仿宋_GB2312"/>
          <w:i w:val="0"/>
          <w:caps w:val="0"/>
          <w:color w:val="000000"/>
          <w:spacing w:val="0"/>
          <w:sz w:val="32"/>
          <w:szCs w:val="32"/>
          <w:shd w:val="clear" w:color="auto" w:fill="FFFFFF"/>
          <w:lang w:val="en-US" w:eastAsia="zh-CN"/>
        </w:rPr>
        <w:t>为推动“南粤家政”工程高质量发展，</w:t>
      </w:r>
      <w:r>
        <w:rPr>
          <w:rFonts w:hint="eastAsia" w:ascii="仿宋_GB2312" w:hAnsi="仿宋_GB2312" w:eastAsia="仿宋_GB2312" w:cs="仿宋_GB2312"/>
          <w:kern w:val="2"/>
          <w:sz w:val="32"/>
          <w:szCs w:val="32"/>
          <w:lang w:val="en-US" w:eastAsia="zh-CN" w:bidi="ar"/>
        </w:rPr>
        <w:t>扩大家政人才供给，</w:t>
      </w:r>
      <w:r>
        <w:rPr>
          <w:rFonts w:hint="eastAsia" w:ascii="仿宋_GB2312" w:hAnsi="Calibri" w:eastAsia="仿宋_GB2312" w:cs="仿宋_GB2312"/>
          <w:color w:val="000000"/>
          <w:kern w:val="2"/>
          <w:sz w:val="32"/>
          <w:szCs w:val="32"/>
          <w:lang w:val="en-US" w:eastAsia="zh-CN" w:bidi="ar"/>
        </w:rPr>
        <w:t>提升有就业意愿的劳动者就业能力</w:t>
      </w:r>
      <w:r>
        <w:rPr>
          <w:rFonts w:hint="eastAsia" w:ascii="仿宋_GB2312" w:hAnsi="仿宋_GB2312" w:eastAsia="仿宋_GB2312" w:cs="仿宋_GB2312"/>
          <w:i w:val="0"/>
          <w:caps w:val="0"/>
          <w:color w:val="000000"/>
          <w:spacing w:val="0"/>
          <w:sz w:val="32"/>
          <w:szCs w:val="32"/>
          <w:shd w:val="clear" w:color="auto" w:fill="FFFFFF"/>
          <w:lang w:val="en-US" w:eastAsia="zh-CN"/>
        </w:rPr>
        <w:t>，</w:t>
      </w:r>
      <w:r>
        <w:rPr>
          <w:rFonts w:hint="eastAsia" w:ascii="仿宋_GB2312" w:hAnsi="仿宋_GB2312" w:eastAsia="仿宋_GB2312" w:cs="仿宋_GB2312"/>
          <w:kern w:val="2"/>
          <w:sz w:val="32"/>
          <w:szCs w:val="32"/>
          <w:lang w:val="en-US" w:eastAsia="zh-CN" w:bidi="ar"/>
        </w:rPr>
        <w:t>根据市人社局《关于转发2024年全省“粤菜师傅”“广东技工”“南粤家政”三项工程工作要点的通知》要求，</w:t>
      </w:r>
      <w:r>
        <w:rPr>
          <w:rFonts w:hint="eastAsia" w:ascii="仿宋_GB2312" w:eastAsia="仿宋_GB2312" w:cs="仿宋_GB2312"/>
          <w:color w:val="auto"/>
          <w:kern w:val="2"/>
          <w:sz w:val="32"/>
          <w:szCs w:val="32"/>
          <w:highlight w:val="none"/>
          <w:lang w:val="en-US" w:eastAsia="zh-CN" w:bidi="ar"/>
        </w:rPr>
        <w:t>我局拟于5月-11月组织开展福田区2025年“南粤家政”基层服务站职业指导项目，</w:t>
      </w:r>
      <w:r>
        <w:rPr>
          <w:rFonts w:hint="eastAsia" w:ascii="仿宋_GB2312" w:hAnsi="仿宋_GB2312" w:eastAsia="仿宋_GB2312" w:cs="仿宋_GB2312"/>
          <w:i w:val="0"/>
          <w:caps w:val="0"/>
          <w:color w:val="000000"/>
          <w:spacing w:val="0"/>
          <w:sz w:val="32"/>
          <w:szCs w:val="32"/>
          <w:shd w:val="clear" w:color="auto" w:fill="FFFFFF"/>
          <w:lang w:val="en-US" w:eastAsia="zh-CN"/>
        </w:rPr>
        <w:t>委托具有相关经验及</w:t>
      </w:r>
      <w:r>
        <w:rPr>
          <w:rFonts w:hint="eastAsia" w:ascii="仿宋_GB2312" w:hAnsi="仿宋_GB2312" w:eastAsia="仿宋_GB2312" w:cs="仿宋_GB2312"/>
          <w:kern w:val="2"/>
          <w:sz w:val="32"/>
          <w:szCs w:val="32"/>
          <w:lang w:val="en-US" w:eastAsia="zh-CN" w:bidi="ar"/>
        </w:rPr>
        <w:t>服务能力</w:t>
      </w:r>
      <w:r>
        <w:rPr>
          <w:rFonts w:hint="eastAsia" w:ascii="仿宋_GB2312" w:hAnsi="仿宋_GB2312" w:eastAsia="仿宋_GB2312" w:cs="仿宋_GB2312"/>
          <w:i w:val="0"/>
          <w:caps w:val="0"/>
          <w:color w:val="000000"/>
          <w:spacing w:val="0"/>
          <w:sz w:val="32"/>
          <w:szCs w:val="32"/>
          <w:shd w:val="clear" w:color="auto" w:fill="FFFFFF"/>
          <w:lang w:val="en-US" w:eastAsia="zh-CN"/>
        </w:rPr>
        <w:t>的第三方培训机构或学校协助开展“南粤家政”</w:t>
      </w:r>
      <w:r>
        <w:rPr>
          <w:rFonts w:hint="eastAsia" w:ascii="仿宋_GB2312" w:hAnsi="仿宋_GB2312" w:eastAsia="仿宋_GB2312" w:cs="仿宋_GB2312"/>
          <w:kern w:val="2"/>
          <w:sz w:val="32"/>
          <w:szCs w:val="32"/>
          <w:lang w:val="en-US" w:eastAsia="zh-CN" w:bidi="ar"/>
        </w:rPr>
        <w:t>母婴、居家、养老、医护四大类培训，促进充分就业和更高质量就业。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预算金额：年度人民币13万元（含税金）。</w:t>
      </w:r>
      <w:bookmarkStart w:id="0" w:name="_GoBack"/>
      <w:bookmarkEnd w:id="0"/>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b w:val="0"/>
          <w:bCs w:val="0"/>
          <w:i w:val="0"/>
          <w:caps w:val="0"/>
          <w:color w:val="000000"/>
          <w:spacing w:val="0"/>
          <w:sz w:val="32"/>
          <w:szCs w:val="32"/>
          <w:lang w:val="en-US" w:eastAsia="zh-CN"/>
        </w:rPr>
        <w:t>二、项目管理和服务要求</w:t>
      </w:r>
      <w:r>
        <w:rPr>
          <w:rFonts w:hint="eastAsia" w:ascii="仿宋_GB2312" w:hAnsi="仿宋_GB2312" w:eastAsia="仿宋_GB2312" w:cs="仿宋_GB2312"/>
          <w:b w:val="0"/>
          <w:i w:val="0"/>
          <w:snapToGrid/>
          <w:color w:val="000000"/>
          <w:sz w:val="32"/>
          <w:szCs w:val="32"/>
          <w:lang w:val="en-US" w:eastAsia="zh-CN"/>
        </w:rPr>
        <w:t xml:space="preserve">      </w:t>
      </w:r>
    </w:p>
    <w:p>
      <w:pPr>
        <w:pStyle w:val="2"/>
        <w:keepNext w:val="0"/>
        <w:keepLines w:val="0"/>
        <w:pageBreakBefore w:val="0"/>
        <w:kinsoku/>
        <w:wordWrap/>
        <w:overflowPunct/>
        <w:topLinePunct w:val="0"/>
        <w:autoSpaceDN/>
        <w:bidi w:val="0"/>
        <w:spacing w:line="560" w:lineRule="exact"/>
        <w:ind w:left="0" w:leftChars="0" w:firstLine="640" w:firstLineChars="200"/>
        <w:rPr>
          <w:rFonts w:hint="eastAsia" w:ascii="仿宋_GB2312" w:eastAsia="仿宋_GB2312"/>
          <w:b w:val="0"/>
          <w:bCs/>
          <w:color w:val="auto"/>
          <w:sz w:val="32"/>
          <w:szCs w:val="32"/>
          <w:lang w:val="en-US" w:eastAsia="zh-CN"/>
        </w:rPr>
      </w:pPr>
      <w:r>
        <w:rPr>
          <w:rFonts w:hint="eastAsia" w:ascii="仿宋_GB2312" w:eastAsia="仿宋_GB2312"/>
          <w:b w:val="0"/>
          <w:bCs/>
          <w:color w:val="auto"/>
          <w:sz w:val="32"/>
          <w:szCs w:val="32"/>
          <w:lang w:val="en-US" w:eastAsia="zh-CN"/>
        </w:rPr>
        <w:t>1.本项目为福田区有就业意愿的</w:t>
      </w:r>
      <w:r>
        <w:rPr>
          <w:rFonts w:hint="eastAsia" w:ascii="仿宋_GB2312" w:hAnsi="Calibri" w:eastAsia="仿宋_GB2312" w:cs="仿宋_GB2312"/>
          <w:color w:val="000000"/>
          <w:kern w:val="2"/>
          <w:sz w:val="32"/>
          <w:szCs w:val="32"/>
          <w:lang w:val="en-US" w:eastAsia="zh-CN" w:bidi="ar"/>
        </w:rPr>
        <w:t>劳动者</w:t>
      </w:r>
      <w:r>
        <w:rPr>
          <w:rFonts w:hint="eastAsia" w:ascii="仿宋_GB2312" w:eastAsia="仿宋_GB2312"/>
          <w:b w:val="0"/>
          <w:bCs/>
          <w:color w:val="auto"/>
          <w:sz w:val="32"/>
          <w:szCs w:val="32"/>
          <w:lang w:val="en-US" w:eastAsia="zh-CN"/>
        </w:rPr>
        <w:t>（失业人员、就业困难人员、家政服务人员及社区居民等）开展公益性培训，每个班次培训人数不超过55人，每天不低于4学时（每学时应不少于45分钟），计划培训不少于1100人次；</w:t>
      </w:r>
    </w:p>
    <w:p>
      <w:pPr>
        <w:pStyle w:val="2"/>
        <w:keepNext w:val="0"/>
        <w:keepLines w:val="0"/>
        <w:pageBreakBefore w:val="0"/>
        <w:kinsoku/>
        <w:wordWrap/>
        <w:overflowPunct/>
        <w:topLinePunct w:val="0"/>
        <w:autoSpaceDN/>
        <w:bidi w:val="0"/>
        <w:spacing w:line="560" w:lineRule="exact"/>
        <w:rPr>
          <w:rFonts w:hint="default" w:ascii="仿宋_GB2312" w:eastAsia="仿宋_GB2312"/>
          <w:b w:val="0"/>
          <w:bCs/>
          <w:color w:val="auto"/>
          <w:sz w:val="32"/>
          <w:szCs w:val="32"/>
          <w:lang w:val="en-US" w:eastAsia="zh-CN"/>
        </w:rPr>
      </w:pPr>
      <w:r>
        <w:rPr>
          <w:rFonts w:hint="eastAsia" w:ascii="仿宋_GB2312" w:eastAsia="仿宋_GB2312"/>
          <w:b w:val="0"/>
          <w:bCs/>
          <w:color w:val="auto"/>
          <w:sz w:val="32"/>
          <w:szCs w:val="32"/>
          <w:lang w:val="en-US" w:eastAsia="zh-CN"/>
        </w:rPr>
        <w:t>2.培训活动须安排在福田区内举办，场地尽量选择交通便利、具备与培训项目和规模相匹配的固定场所，须符合消防安全、房屋安全、设施设备等要求；</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i w:val="0"/>
          <w:iCs w:val="0"/>
          <w:caps w:val="0"/>
          <w:color w:val="auto"/>
          <w:spacing w:val="0"/>
          <w:kern w:val="2"/>
          <w:sz w:val="32"/>
          <w:szCs w:val="32"/>
          <w:lang w:val="en-US" w:eastAsia="zh-CN" w:bidi="ar"/>
        </w:rPr>
        <w:t>3.响应人需撰写《关于开展福田区</w:t>
      </w:r>
      <w:r>
        <w:rPr>
          <w:rFonts w:hint="eastAsia" w:ascii="仿宋_GB2312" w:hAnsi="仿宋_GB2312" w:eastAsia="仿宋_GB2312" w:cs="仿宋_GB2312"/>
          <w:i w:val="0"/>
          <w:iCs w:val="0"/>
          <w:caps w:val="0"/>
          <w:color w:val="000000"/>
          <w:spacing w:val="0"/>
          <w:kern w:val="2"/>
          <w:sz w:val="32"/>
          <w:szCs w:val="32"/>
          <w:lang w:val="en-US" w:eastAsia="zh-CN" w:bidi="ar"/>
        </w:rPr>
        <w:t>2025年</w:t>
      </w:r>
      <w:r>
        <w:rPr>
          <w:rFonts w:hint="eastAsia" w:ascii="仿宋_GB2312" w:hAnsi="仿宋_GB2312" w:eastAsia="仿宋_GB2312" w:cs="仿宋_GB2312"/>
          <w:color w:val="auto"/>
          <w:kern w:val="2"/>
          <w:sz w:val="32"/>
          <w:szCs w:val="32"/>
          <w:highlight w:val="none"/>
          <w:lang w:val="en-US" w:eastAsia="zh-CN" w:bidi="ar"/>
        </w:rPr>
        <w:t>“南粤家政”基层服务站职业指导</w:t>
      </w:r>
      <w:r>
        <w:rPr>
          <w:rFonts w:hint="eastAsia" w:ascii="仿宋_GB2312" w:hAnsi="仿宋_GB2312" w:eastAsia="仿宋_GB2312" w:cs="仿宋_GB2312"/>
          <w:i w:val="0"/>
          <w:iCs w:val="0"/>
          <w:caps w:val="0"/>
          <w:color w:val="000000"/>
          <w:spacing w:val="0"/>
          <w:kern w:val="2"/>
          <w:sz w:val="32"/>
          <w:szCs w:val="32"/>
          <w:lang w:val="en-US" w:eastAsia="zh-CN" w:bidi="ar"/>
        </w:rPr>
        <w:t>项目</w:t>
      </w:r>
      <w:r>
        <w:rPr>
          <w:rFonts w:hint="eastAsia" w:ascii="仿宋_GB2312" w:hAnsi="仿宋_GB2312" w:eastAsia="仿宋_GB2312" w:cs="仿宋_GB2312"/>
          <w:i w:val="0"/>
          <w:iCs w:val="0"/>
          <w:caps w:val="0"/>
          <w:color w:val="auto"/>
          <w:spacing w:val="0"/>
          <w:kern w:val="2"/>
          <w:sz w:val="32"/>
          <w:szCs w:val="32"/>
          <w:lang w:val="en-US" w:eastAsia="zh-CN" w:bidi="ar"/>
        </w:rPr>
        <w:t>方案》，</w:t>
      </w:r>
      <w:r>
        <w:rPr>
          <w:rFonts w:hint="eastAsia" w:ascii="仿宋_GB2312" w:hAnsi="仿宋_GB2312" w:eastAsia="仿宋_GB2312" w:cs="仿宋_GB2312"/>
          <w:kern w:val="2"/>
          <w:sz w:val="32"/>
          <w:szCs w:val="32"/>
          <w:lang w:val="en-US" w:eastAsia="zh-CN" w:bidi="ar"/>
        </w:rPr>
        <w:t>在方案中体现招生渠道、课程设置、师资情况、学时安排、组织方式、培训质量保障措施、训后跟踪服务等内容，突出特色亮点；</w:t>
      </w:r>
    </w:p>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lang w:val="en-US" w:eastAsia="zh-CN"/>
        </w:rPr>
        <w:t>4.响应人需</w:t>
      </w:r>
      <w:r>
        <w:rPr>
          <w:rFonts w:hint="eastAsia" w:ascii="仿宋_GB2312" w:hAnsi="仿宋_GB2312" w:eastAsia="仿宋_GB2312" w:cs="仿宋_GB2312"/>
          <w:i w:val="0"/>
          <w:iCs w:val="0"/>
          <w:caps w:val="0"/>
          <w:color w:val="auto"/>
          <w:spacing w:val="0"/>
          <w:sz w:val="32"/>
          <w:szCs w:val="32"/>
        </w:rPr>
        <w:t>提交以往开展相关服务及单位的资质证明；</w:t>
      </w:r>
    </w:p>
    <w:p>
      <w:pPr>
        <w:pStyle w:val="9"/>
        <w:keepNext w:val="0"/>
        <w:keepLines w:val="0"/>
        <w:pageBreakBefore w:val="0"/>
        <w:kinsoku/>
        <w:wordWrap/>
        <w:overflowPunct/>
        <w:topLinePunct w:val="0"/>
        <w:autoSpaceDN/>
        <w:bidi w:val="0"/>
        <w:spacing w:line="560" w:lineRule="exact"/>
        <w:ind w:firstLine="640" w:firstLineChars="200"/>
        <w:rPr>
          <w:rFonts w:hint="default"/>
          <w:lang w:val="en-US"/>
        </w:rPr>
      </w:pPr>
      <w:r>
        <w:rPr>
          <w:rFonts w:hint="eastAsia" w:ascii="仿宋_GB2312" w:hAnsi="仿宋_GB2312" w:eastAsia="仿宋_GB2312" w:cs="仿宋_GB2312"/>
          <w:i w:val="0"/>
          <w:iCs w:val="0"/>
          <w:caps w:val="0"/>
          <w:color w:val="auto"/>
          <w:spacing w:val="0"/>
          <w:sz w:val="32"/>
          <w:szCs w:val="32"/>
          <w:lang w:val="en-US" w:eastAsia="zh-CN"/>
        </w:rPr>
        <w:t>5.响应单位应发布相关培训信息（宣传海报或微信推文），培训成效宣传报道不少于1篇（涉及对外宣传资料须报福田区人力资源局审核通过后方可发布）；</w:t>
      </w:r>
    </w:p>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right="0" w:firstLine="640" w:firstLineChars="200"/>
        <w:textAlignment w:val="auto"/>
        <w:rPr>
          <w:rFonts w:hint="default"/>
          <w:color w:val="auto"/>
          <w:lang w:val="en-US" w:eastAsia="zh-CN"/>
        </w:rPr>
      </w:pPr>
      <w:r>
        <w:rPr>
          <w:rFonts w:hint="eastAsia" w:ascii="仿宋_GB2312" w:hAnsi="仿宋_GB2312" w:eastAsia="仿宋_GB2312" w:cs="仿宋_GB2312"/>
          <w:i w:val="0"/>
          <w:iCs w:val="0"/>
          <w:caps w:val="0"/>
          <w:color w:val="auto"/>
          <w:spacing w:val="0"/>
          <w:sz w:val="32"/>
          <w:szCs w:val="32"/>
          <w:lang w:val="en-US" w:eastAsia="zh-CN"/>
        </w:rPr>
        <w:t>6.</w:t>
      </w:r>
      <w:r>
        <w:rPr>
          <w:rFonts w:hint="eastAsia" w:ascii="仿宋_GB2312" w:hAnsi="仿宋_GB2312" w:eastAsia="仿宋_GB2312" w:cs="仿宋_GB2312"/>
          <w:i w:val="0"/>
          <w:iCs w:val="0"/>
          <w:caps w:val="0"/>
          <w:color w:val="auto"/>
          <w:spacing w:val="0"/>
          <w:sz w:val="32"/>
          <w:szCs w:val="32"/>
          <w:lang w:eastAsia="zh-CN"/>
        </w:rPr>
        <w:t>响应人服务完成后，需提交项目验收佐证报告及本次项目中所开展的各项培训相关资料，并按</w:t>
      </w:r>
      <w:r>
        <w:rPr>
          <w:rFonts w:hint="eastAsia" w:ascii="仿宋_GB2312" w:eastAsia="仿宋_GB2312" w:cs="仿宋_GB2312"/>
          <w:color w:val="auto"/>
          <w:kern w:val="2"/>
          <w:sz w:val="32"/>
          <w:szCs w:val="32"/>
        </w:rPr>
        <w:t>要求配合做好培训及考核工作。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三、商务需求</w:t>
      </w:r>
    </w:p>
    <w:p>
      <w:pPr>
        <w:keepNext w:val="0"/>
        <w:keepLines w:val="0"/>
        <w:pageBreakBefore w:val="0"/>
        <w:numPr>
          <w:ilvl w:val="0"/>
          <w:numId w:val="0"/>
        </w:numPr>
        <w:kinsoku/>
        <w:wordWrap/>
        <w:overflowPunct/>
        <w:topLinePunct w:val="0"/>
        <w:autoSpaceDN/>
        <w:bidi w:val="0"/>
        <w:snapToGrid w:val="0"/>
        <w:spacing w:line="56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（一）</w:t>
      </w:r>
      <w:r>
        <w:rPr>
          <w:rFonts w:hint="eastAsia" w:ascii="仿宋_GB2312" w:hAnsi="仿宋_GB2312" w:eastAsia="仿宋_GB2312" w:cs="仿宋_GB2312"/>
          <w:b w:val="0"/>
          <w:bCs/>
          <w:color w:val="auto"/>
          <w:sz w:val="32"/>
          <w:szCs w:val="32"/>
        </w:rPr>
        <w:t>服务期</w:t>
      </w:r>
    </w:p>
    <w:p>
      <w:pPr>
        <w:pStyle w:val="9"/>
        <w:keepNext w:val="0"/>
        <w:keepLines w:val="0"/>
        <w:pageBreakBefore w:val="0"/>
        <w:kinsoku/>
        <w:wordWrap/>
        <w:overflowPunct/>
        <w:topLinePunct w:val="0"/>
        <w:autoSpaceDN/>
        <w:bidi w:val="0"/>
        <w:spacing w:line="560" w:lineRule="exact"/>
        <w:rPr>
          <w:rFonts w:hint="default" w:eastAsia="仿宋_GB2312"/>
          <w:lang w:val="en-US" w:eastAsia="zh-CN"/>
        </w:rPr>
      </w:pP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0070C0"/>
          <w:sz w:val="32"/>
          <w:szCs w:val="32"/>
          <w:lang w:val="en-US" w:eastAsia="zh-CN"/>
        </w:rPr>
        <w:t xml:space="preserve">  </w:t>
      </w:r>
      <w:r>
        <w:rPr>
          <w:rFonts w:hint="eastAsia" w:ascii="仿宋_GB2312" w:hAnsi="仿宋_GB2312" w:eastAsia="仿宋_GB2312" w:cs="仿宋_GB2312"/>
          <w:b w:val="0"/>
          <w:bCs/>
          <w:color w:val="auto"/>
          <w:sz w:val="32"/>
          <w:szCs w:val="32"/>
          <w:lang w:val="en-US" w:eastAsia="zh-CN"/>
        </w:rPr>
        <w:t>自合同签订日起至11月20日前全部完成。</w:t>
      </w:r>
    </w:p>
    <w:p>
      <w:pPr>
        <w:keepNext w:val="0"/>
        <w:keepLines w:val="0"/>
        <w:pageBreakBefore w:val="0"/>
        <w:numPr>
          <w:ilvl w:val="0"/>
          <w:numId w:val="1"/>
        </w:numPr>
        <w:kinsoku/>
        <w:wordWrap/>
        <w:overflowPunct/>
        <w:topLinePunct w:val="0"/>
        <w:autoSpaceDN/>
        <w:bidi w:val="0"/>
        <w:snapToGrid w:val="0"/>
        <w:spacing w:line="56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服务地点</w:t>
      </w:r>
    </w:p>
    <w:p>
      <w:pPr>
        <w:keepNext w:val="0"/>
        <w:keepLines w:val="0"/>
        <w:pageBreakBefore w:val="0"/>
        <w:numPr>
          <w:ilvl w:val="0"/>
          <w:numId w:val="0"/>
        </w:numPr>
        <w:kinsoku/>
        <w:wordWrap/>
        <w:overflowPunct/>
        <w:topLinePunct w:val="0"/>
        <w:autoSpaceDN/>
        <w:bidi w:val="0"/>
        <w:snapToGrid w:val="0"/>
        <w:spacing w:line="560" w:lineRule="exact"/>
        <w:ind w:firstLine="640" w:firstLineChars="200"/>
        <w:textAlignment w:val="auto"/>
        <w:rPr>
          <w:rFonts w:hint="eastAsia"/>
          <w:lang w:val="en-US" w:eastAsia="zh-CN"/>
        </w:rPr>
      </w:pPr>
      <w:r>
        <w:rPr>
          <w:rFonts w:hint="eastAsia" w:ascii="仿宋_GB2312" w:eastAsia="仿宋_GB2312"/>
          <w:b w:val="0"/>
          <w:bCs/>
          <w:color w:val="auto"/>
          <w:sz w:val="32"/>
          <w:szCs w:val="32"/>
          <w:lang w:val="en-US" w:eastAsia="zh-CN"/>
        </w:rPr>
        <w:t>福田区内的场所。</w:t>
      </w:r>
      <w:r>
        <w:rPr>
          <w:rFonts w:hint="eastAsia" w:ascii="仿宋_GB2312" w:eastAsia="仿宋_GB2312"/>
          <w:b w:val="0"/>
          <w:bCs/>
          <w:color w:val="auto"/>
          <w:sz w:val="32"/>
          <w:szCs w:val="32"/>
          <w:lang w:val="en-US" w:eastAsia="zh-CN"/>
        </w:rPr>
        <w:tab/>
      </w:r>
    </w:p>
    <w:p>
      <w:pPr>
        <w:keepNext w:val="0"/>
        <w:keepLines w:val="0"/>
        <w:pageBreakBefore w:val="0"/>
        <w:numPr>
          <w:ilvl w:val="0"/>
          <w:numId w:val="0"/>
        </w:numPr>
        <w:kinsoku/>
        <w:wordWrap/>
        <w:overflowPunct/>
        <w:topLinePunct w:val="0"/>
        <w:autoSpaceDN/>
        <w:bidi w:val="0"/>
        <w:snapToGrid w:val="0"/>
        <w:spacing w:line="56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（三）</w:t>
      </w:r>
      <w:r>
        <w:rPr>
          <w:rFonts w:hint="eastAsia" w:ascii="仿宋_GB2312" w:hAnsi="仿宋_GB2312" w:eastAsia="仿宋_GB2312" w:cs="仿宋_GB2312"/>
          <w:b w:val="0"/>
          <w:bCs/>
          <w:color w:val="auto"/>
          <w:sz w:val="32"/>
          <w:szCs w:val="32"/>
        </w:rPr>
        <w:t>报价要求</w:t>
      </w:r>
    </w:p>
    <w:p>
      <w:pPr>
        <w:keepNext w:val="0"/>
        <w:keepLines w:val="0"/>
        <w:pageBreakBefore w:val="0"/>
        <w:numPr>
          <w:ilvl w:val="0"/>
          <w:numId w:val="0"/>
        </w:numPr>
        <w:kinsoku/>
        <w:wordWrap/>
        <w:overflowPunct/>
        <w:topLinePunct w:val="0"/>
        <w:autoSpaceDN/>
        <w:bidi w:val="0"/>
        <w:snapToGrid w:val="0"/>
        <w:spacing w:line="56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1.</w:t>
      </w:r>
      <w:r>
        <w:rPr>
          <w:rFonts w:hint="eastAsia" w:ascii="仿宋_GB2312" w:hAnsi="仿宋_GB2312" w:eastAsia="仿宋_GB2312" w:cs="仿宋_GB2312"/>
          <w:b w:val="0"/>
          <w:bCs/>
          <w:color w:val="auto"/>
          <w:sz w:val="32"/>
          <w:szCs w:val="32"/>
        </w:rPr>
        <w:t>本项目服务费采用包干制，应包括服务成本、法定税费和企业的利润。由响应人根据采购文件所提供的资料自行测算投标报价；一经中选，报价总价作为</w:t>
      </w:r>
      <w:r>
        <w:rPr>
          <w:rFonts w:hint="eastAsia" w:ascii="仿宋_GB2312" w:hAnsi="仿宋_GB2312" w:eastAsia="仿宋_GB2312" w:cs="仿宋_GB2312"/>
          <w:b w:val="0"/>
          <w:bCs/>
          <w:color w:val="auto"/>
          <w:sz w:val="32"/>
          <w:szCs w:val="32"/>
          <w:lang w:eastAsia="zh-CN"/>
        </w:rPr>
        <w:t>供应商</w:t>
      </w:r>
      <w:r>
        <w:rPr>
          <w:rFonts w:hint="eastAsia" w:ascii="仿宋_GB2312" w:hAnsi="仿宋_GB2312" w:eastAsia="仿宋_GB2312" w:cs="仿宋_GB2312"/>
          <w:b w:val="0"/>
          <w:bCs/>
          <w:color w:val="auto"/>
          <w:sz w:val="32"/>
          <w:szCs w:val="32"/>
        </w:rPr>
        <w:t>与采购人签定的合同金额，合同期限内不做调整；</w:t>
      </w:r>
    </w:p>
    <w:p>
      <w:pPr>
        <w:keepNext w:val="0"/>
        <w:keepLines w:val="0"/>
        <w:pageBreakBefore w:val="0"/>
        <w:numPr>
          <w:ilvl w:val="0"/>
          <w:numId w:val="0"/>
        </w:numPr>
        <w:kinsoku/>
        <w:wordWrap/>
        <w:overflowPunct/>
        <w:topLinePunct w:val="0"/>
        <w:autoSpaceDN/>
        <w:bidi w:val="0"/>
        <w:snapToGrid w:val="0"/>
        <w:spacing w:line="56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2.</w:t>
      </w:r>
      <w:r>
        <w:rPr>
          <w:rFonts w:hint="eastAsia" w:ascii="仿宋_GB2312" w:hAnsi="仿宋_GB2312" w:eastAsia="仿宋_GB2312" w:cs="仿宋_GB2312"/>
          <w:b w:val="0"/>
          <w:bCs/>
          <w:color w:val="auto"/>
          <w:sz w:val="32"/>
          <w:szCs w:val="32"/>
        </w:rPr>
        <w:t>响应人应根据本企业的成本自行决定报价，但不得以低于其企业成本的报价投标；</w:t>
      </w:r>
    </w:p>
    <w:p>
      <w:pPr>
        <w:keepNext w:val="0"/>
        <w:keepLines w:val="0"/>
        <w:pageBreakBefore w:val="0"/>
        <w:numPr>
          <w:ilvl w:val="0"/>
          <w:numId w:val="0"/>
        </w:numPr>
        <w:kinsoku/>
        <w:wordWrap/>
        <w:overflowPunct/>
        <w:topLinePunct w:val="0"/>
        <w:autoSpaceDN/>
        <w:bidi w:val="0"/>
        <w:snapToGrid w:val="0"/>
        <w:spacing w:line="56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3.</w:t>
      </w:r>
      <w:r>
        <w:rPr>
          <w:rFonts w:hint="eastAsia" w:ascii="仿宋_GB2312" w:hAnsi="仿宋_GB2312" w:eastAsia="仿宋_GB2312" w:cs="仿宋_GB2312"/>
          <w:b w:val="0"/>
          <w:bCs/>
          <w:color w:val="auto"/>
          <w:sz w:val="32"/>
          <w:szCs w:val="32"/>
        </w:rPr>
        <w:t>响应人的报价不得超过</w:t>
      </w:r>
      <w:r>
        <w:rPr>
          <w:rFonts w:hint="eastAsia" w:ascii="仿宋_GB2312" w:hAnsi="仿宋_GB2312" w:eastAsia="仿宋_GB2312" w:cs="仿宋_GB2312"/>
          <w:b w:val="0"/>
          <w:bCs/>
          <w:color w:val="auto"/>
          <w:sz w:val="32"/>
          <w:szCs w:val="32"/>
          <w:lang w:eastAsia="zh-CN"/>
        </w:rPr>
        <w:t>项目</w:t>
      </w:r>
      <w:r>
        <w:rPr>
          <w:rFonts w:hint="eastAsia" w:ascii="仿宋_GB2312" w:hAnsi="仿宋_GB2312" w:eastAsia="仿宋_GB2312" w:cs="仿宋_GB2312"/>
          <w:b w:val="0"/>
          <w:bCs/>
          <w:color w:val="auto"/>
          <w:sz w:val="32"/>
          <w:szCs w:val="32"/>
        </w:rPr>
        <w:t>预算</w:t>
      </w:r>
      <w:r>
        <w:rPr>
          <w:rFonts w:hint="eastAsia" w:ascii="仿宋_GB2312" w:hAnsi="仿宋_GB2312" w:eastAsia="仿宋_GB2312" w:cs="仿宋_GB2312"/>
          <w:b w:val="0"/>
          <w:bCs/>
          <w:color w:val="auto"/>
          <w:sz w:val="32"/>
          <w:szCs w:val="32"/>
          <w:lang w:eastAsia="zh-CN"/>
        </w:rPr>
        <w:t>金额</w:t>
      </w:r>
      <w:r>
        <w:rPr>
          <w:rFonts w:hint="eastAsia" w:ascii="仿宋_GB2312" w:hAnsi="仿宋_GB2312" w:eastAsia="仿宋_GB2312" w:cs="仿宋_GB2312"/>
          <w:b w:val="0"/>
          <w:bCs/>
          <w:color w:val="auto"/>
          <w:sz w:val="32"/>
          <w:szCs w:val="32"/>
        </w:rPr>
        <w:t>；</w:t>
      </w:r>
    </w:p>
    <w:p>
      <w:pPr>
        <w:keepNext w:val="0"/>
        <w:keepLines w:val="0"/>
        <w:pageBreakBefore w:val="0"/>
        <w:numPr>
          <w:ilvl w:val="0"/>
          <w:numId w:val="0"/>
        </w:numPr>
        <w:kinsoku/>
        <w:wordWrap/>
        <w:overflowPunct/>
        <w:topLinePunct w:val="0"/>
        <w:autoSpaceDN/>
        <w:bidi w:val="0"/>
        <w:snapToGrid w:val="0"/>
        <w:spacing w:line="56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4.</w:t>
      </w:r>
      <w:r>
        <w:rPr>
          <w:rFonts w:hint="eastAsia" w:ascii="仿宋_GB2312" w:hAnsi="仿宋_GB2312" w:eastAsia="仿宋_GB2312" w:cs="仿宋_GB2312"/>
          <w:b w:val="0"/>
          <w:bCs/>
          <w:color w:val="auto"/>
          <w:sz w:val="32"/>
          <w:szCs w:val="32"/>
        </w:rPr>
        <w:t>响应人的报价，应是本项目采购范围和采购文件及合同条款上所列的各项内容中所述的全部，不得以任何理由予以重复，并以响应人最终提出的综合单价或</w:t>
      </w:r>
      <w:r>
        <w:rPr>
          <w:rFonts w:hint="eastAsia" w:ascii="仿宋_GB2312" w:hAnsi="仿宋_GB2312" w:eastAsia="仿宋_GB2312" w:cs="仿宋_GB2312"/>
          <w:b w:val="0"/>
          <w:bCs/>
          <w:color w:val="auto"/>
          <w:sz w:val="32"/>
          <w:szCs w:val="32"/>
          <w:lang w:eastAsia="zh-CN"/>
        </w:rPr>
        <w:t>者</w:t>
      </w:r>
      <w:r>
        <w:rPr>
          <w:rFonts w:hint="eastAsia" w:ascii="仿宋_GB2312" w:hAnsi="仿宋_GB2312" w:eastAsia="仿宋_GB2312" w:cs="仿宋_GB2312"/>
          <w:b w:val="0"/>
          <w:bCs/>
          <w:color w:val="auto"/>
          <w:sz w:val="32"/>
          <w:szCs w:val="32"/>
        </w:rPr>
        <w:t>总价为依据；</w:t>
      </w:r>
    </w:p>
    <w:p>
      <w:pPr>
        <w:keepNext w:val="0"/>
        <w:keepLines w:val="0"/>
        <w:pageBreakBefore w:val="0"/>
        <w:numPr>
          <w:ilvl w:val="0"/>
          <w:numId w:val="0"/>
        </w:numPr>
        <w:kinsoku/>
        <w:wordWrap/>
        <w:overflowPunct/>
        <w:topLinePunct w:val="0"/>
        <w:autoSpaceDN/>
        <w:bidi w:val="0"/>
        <w:snapToGrid w:val="0"/>
        <w:spacing w:line="56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5.</w:t>
      </w:r>
      <w:r>
        <w:rPr>
          <w:rFonts w:hint="eastAsia" w:ascii="仿宋_GB2312" w:hAnsi="仿宋_GB2312" w:eastAsia="仿宋_GB2312" w:cs="仿宋_GB2312"/>
          <w:b w:val="0"/>
          <w:bCs/>
          <w:color w:val="auto"/>
          <w:sz w:val="32"/>
          <w:szCs w:val="32"/>
        </w:rPr>
        <w:t>除非采购人通过修改采购文件予以更正，否则，响应人应毫无例外地按响应文件所列的清单中项目和数量填报综合单价和合价；</w:t>
      </w:r>
    </w:p>
    <w:p>
      <w:pPr>
        <w:keepNext w:val="0"/>
        <w:keepLines w:val="0"/>
        <w:pageBreakBefore w:val="0"/>
        <w:numPr>
          <w:ilvl w:val="0"/>
          <w:numId w:val="0"/>
        </w:numPr>
        <w:kinsoku/>
        <w:wordWrap/>
        <w:overflowPunct/>
        <w:topLinePunct w:val="0"/>
        <w:autoSpaceDN/>
        <w:bidi w:val="0"/>
        <w:snapToGrid w:val="0"/>
        <w:spacing w:line="56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6.</w:t>
      </w:r>
      <w:r>
        <w:rPr>
          <w:rFonts w:hint="eastAsia" w:ascii="仿宋_GB2312" w:hAnsi="仿宋_GB2312" w:eastAsia="仿宋_GB2312" w:cs="仿宋_GB2312"/>
          <w:b w:val="0"/>
          <w:bCs/>
          <w:color w:val="auto"/>
          <w:sz w:val="32"/>
          <w:szCs w:val="32"/>
        </w:rPr>
        <w:t>响应人应先到项目地点踏勘以充分了解项目的位置、情况、道路及任何其它足以影响投标报价的情况，任何因忽视或</w:t>
      </w:r>
      <w:r>
        <w:rPr>
          <w:rFonts w:hint="eastAsia" w:ascii="仿宋_GB2312" w:hAnsi="仿宋_GB2312" w:eastAsia="仿宋_GB2312" w:cs="仿宋_GB2312"/>
          <w:b w:val="0"/>
          <w:bCs/>
          <w:color w:val="auto"/>
          <w:sz w:val="32"/>
          <w:szCs w:val="32"/>
          <w:lang w:eastAsia="zh-CN"/>
        </w:rPr>
        <w:t>者</w:t>
      </w:r>
      <w:r>
        <w:rPr>
          <w:rFonts w:hint="eastAsia" w:ascii="仿宋_GB2312" w:hAnsi="仿宋_GB2312" w:eastAsia="仿宋_GB2312" w:cs="仿宋_GB2312"/>
          <w:b w:val="0"/>
          <w:bCs/>
          <w:color w:val="auto"/>
          <w:sz w:val="32"/>
          <w:szCs w:val="32"/>
        </w:rPr>
        <w:t>误解项目情况而导致的索赔或</w:t>
      </w:r>
      <w:r>
        <w:rPr>
          <w:rFonts w:hint="eastAsia" w:ascii="仿宋_GB2312" w:hAnsi="仿宋_GB2312" w:eastAsia="仿宋_GB2312" w:cs="仿宋_GB2312"/>
          <w:b w:val="0"/>
          <w:bCs/>
          <w:color w:val="auto"/>
          <w:sz w:val="32"/>
          <w:szCs w:val="32"/>
          <w:lang w:eastAsia="zh-CN"/>
        </w:rPr>
        <w:t>者</w:t>
      </w:r>
      <w:r>
        <w:rPr>
          <w:rFonts w:hint="eastAsia" w:ascii="仿宋_GB2312" w:hAnsi="仿宋_GB2312" w:eastAsia="仿宋_GB2312" w:cs="仿宋_GB2312"/>
          <w:b w:val="0"/>
          <w:bCs/>
          <w:color w:val="auto"/>
          <w:sz w:val="32"/>
          <w:szCs w:val="32"/>
        </w:rPr>
        <w:t>服务期限延长申请将不获批准；</w:t>
      </w:r>
    </w:p>
    <w:p>
      <w:pPr>
        <w:keepNext w:val="0"/>
        <w:keepLines w:val="0"/>
        <w:pageBreakBefore w:val="0"/>
        <w:numPr>
          <w:ilvl w:val="0"/>
          <w:numId w:val="0"/>
        </w:numPr>
        <w:kinsoku/>
        <w:wordWrap/>
        <w:overflowPunct/>
        <w:topLinePunct w:val="0"/>
        <w:autoSpaceDN/>
        <w:bidi w:val="0"/>
        <w:snapToGrid w:val="0"/>
        <w:spacing w:line="56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7.</w:t>
      </w:r>
      <w:r>
        <w:rPr>
          <w:rFonts w:hint="eastAsia" w:ascii="仿宋_GB2312" w:hAnsi="仿宋_GB2312" w:eastAsia="仿宋_GB2312" w:cs="仿宋_GB2312"/>
          <w:b w:val="0"/>
          <w:bCs/>
          <w:color w:val="auto"/>
          <w:sz w:val="32"/>
          <w:szCs w:val="32"/>
        </w:rPr>
        <w:t>响应人不得期望通过索赔等方式获取</w:t>
      </w:r>
      <w:r>
        <w:rPr>
          <w:rFonts w:hint="eastAsia" w:ascii="仿宋_GB2312" w:hAnsi="仿宋_GB2312" w:eastAsia="仿宋_GB2312" w:cs="仿宋_GB2312"/>
          <w:b w:val="0"/>
          <w:bCs/>
          <w:color w:val="auto"/>
          <w:sz w:val="32"/>
          <w:szCs w:val="32"/>
          <w:lang w:eastAsia="zh-CN"/>
        </w:rPr>
        <w:t>报价</w:t>
      </w:r>
      <w:r>
        <w:rPr>
          <w:rFonts w:hint="eastAsia" w:ascii="仿宋_GB2312" w:hAnsi="仿宋_GB2312" w:eastAsia="仿宋_GB2312" w:cs="仿宋_GB2312"/>
          <w:b w:val="0"/>
          <w:bCs/>
          <w:color w:val="auto"/>
          <w:sz w:val="32"/>
          <w:szCs w:val="32"/>
        </w:rPr>
        <w:t>补偿，否则，除可能遭到拒绝外，还可能将被作为不良行为记录在案，并可能影响其以后参加政府采购的项目投标。各响应人在报价时，应充分考虑报价的风险。</w:t>
      </w:r>
    </w:p>
    <w:p>
      <w:pPr>
        <w:keepNext w:val="0"/>
        <w:keepLines w:val="0"/>
        <w:pageBreakBefore w:val="0"/>
        <w:numPr>
          <w:ilvl w:val="0"/>
          <w:numId w:val="0"/>
        </w:numPr>
        <w:kinsoku/>
        <w:wordWrap/>
        <w:overflowPunct/>
        <w:topLinePunct w:val="0"/>
        <w:autoSpaceDN/>
        <w:bidi w:val="0"/>
        <w:snapToGrid w:val="0"/>
        <w:spacing w:line="56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（四）</w:t>
      </w:r>
      <w:r>
        <w:rPr>
          <w:rFonts w:hint="eastAsia" w:ascii="仿宋_GB2312" w:hAnsi="仿宋_GB2312" w:eastAsia="仿宋_GB2312" w:cs="仿宋_GB2312"/>
          <w:b w:val="0"/>
          <w:bCs/>
          <w:color w:val="auto"/>
          <w:sz w:val="32"/>
          <w:szCs w:val="32"/>
        </w:rPr>
        <w:t>付款方式</w:t>
      </w:r>
    </w:p>
    <w:p>
      <w:pPr>
        <w:keepNext w:val="0"/>
        <w:keepLines w:val="0"/>
        <w:pageBreakBefore w:val="0"/>
        <w:numPr>
          <w:ilvl w:val="0"/>
          <w:numId w:val="0"/>
        </w:numPr>
        <w:kinsoku/>
        <w:wordWrap/>
        <w:overflowPunct/>
        <w:topLinePunct w:val="0"/>
        <w:autoSpaceDN/>
        <w:bidi w:val="0"/>
        <w:snapToGrid w:val="0"/>
        <w:spacing w:line="56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合同签订后，响应人完成全部培训工作并通过书面验收且开具等额完税发票交于采购人后15个工作日内，采购人一次性支付全额费用。</w:t>
      </w:r>
    </w:p>
    <w:p>
      <w:pPr>
        <w:keepNext w:val="0"/>
        <w:keepLines w:val="0"/>
        <w:pageBreakBefore w:val="0"/>
        <w:numPr>
          <w:ilvl w:val="0"/>
          <w:numId w:val="2"/>
        </w:numPr>
        <w:kinsoku/>
        <w:wordWrap/>
        <w:overflowPunct/>
        <w:topLinePunct w:val="0"/>
        <w:autoSpaceDN/>
        <w:bidi w:val="0"/>
        <w:snapToGrid w:val="0"/>
        <w:spacing w:line="560" w:lineRule="exact"/>
        <w:ind w:firstLine="640" w:firstLineChars="200"/>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验收</w:t>
      </w:r>
    </w:p>
    <w:p>
      <w:pPr>
        <w:keepNext w:val="0"/>
        <w:keepLines w:val="0"/>
        <w:pageBreakBefore w:val="0"/>
        <w:numPr>
          <w:ilvl w:val="0"/>
          <w:numId w:val="0"/>
        </w:numPr>
        <w:kinsoku/>
        <w:wordWrap/>
        <w:overflowPunct/>
        <w:topLinePunct w:val="0"/>
        <w:autoSpaceDN/>
        <w:bidi w:val="0"/>
        <w:snapToGrid w:val="0"/>
        <w:spacing w:line="560" w:lineRule="exact"/>
        <w:ind w:firstLine="640" w:firstLineChars="200"/>
        <w:textAlignment w:val="auto"/>
        <w:rPr>
          <w:rFonts w:hint="eastAsia" w:ascii="仿宋_GB2312" w:eastAsia="仿宋_GB2312"/>
          <w:b w:val="0"/>
          <w:bCs/>
          <w:color w:val="auto"/>
          <w:sz w:val="32"/>
          <w:szCs w:val="32"/>
          <w:lang w:eastAsia="zh-CN"/>
        </w:rPr>
      </w:pPr>
      <w:r>
        <w:rPr>
          <w:rFonts w:hint="eastAsia" w:ascii="仿宋_GB2312" w:eastAsia="仿宋_GB2312"/>
          <w:b w:val="0"/>
          <w:bCs/>
          <w:color w:val="auto"/>
          <w:sz w:val="32"/>
          <w:szCs w:val="32"/>
          <w:lang w:eastAsia="zh-CN"/>
        </w:rPr>
        <w:t>采购人</w:t>
      </w:r>
      <w:r>
        <w:rPr>
          <w:rFonts w:hint="eastAsia" w:ascii="仿宋_GB2312" w:eastAsia="仿宋_GB2312"/>
          <w:b w:val="0"/>
          <w:bCs/>
          <w:color w:val="auto"/>
          <w:sz w:val="32"/>
          <w:szCs w:val="32"/>
        </w:rPr>
        <w:t>在项目服务期到期后，将按照合同约定的服务内容对</w:t>
      </w:r>
      <w:r>
        <w:rPr>
          <w:rFonts w:hint="eastAsia" w:ascii="仿宋_GB2312" w:eastAsia="仿宋_GB2312"/>
          <w:b w:val="0"/>
          <w:bCs/>
          <w:color w:val="auto"/>
          <w:sz w:val="32"/>
          <w:szCs w:val="32"/>
          <w:lang w:eastAsia="zh-CN"/>
        </w:rPr>
        <w:t>供应商</w:t>
      </w:r>
      <w:r>
        <w:rPr>
          <w:rFonts w:hint="eastAsia" w:ascii="仿宋_GB2312" w:eastAsia="仿宋_GB2312"/>
          <w:b w:val="0"/>
          <w:bCs/>
          <w:color w:val="auto"/>
          <w:sz w:val="32"/>
          <w:szCs w:val="32"/>
        </w:rPr>
        <w:t>的服务进行逐项验收。项目验收后，双方共同签署验收报告</w:t>
      </w:r>
      <w:r>
        <w:rPr>
          <w:rFonts w:hint="eastAsia" w:ascii="仿宋_GB2312" w:eastAsia="仿宋_GB2312"/>
          <w:b w:val="0"/>
          <w:bCs/>
          <w:color w:val="auto"/>
          <w:sz w:val="32"/>
          <w:szCs w:val="32"/>
          <w:lang w:eastAsia="zh-CN"/>
        </w:rPr>
        <w:t>。</w:t>
      </w:r>
    </w:p>
    <w:p>
      <w:pPr>
        <w:keepNext w:val="0"/>
        <w:keepLines w:val="0"/>
        <w:pageBreakBefore w:val="0"/>
        <w:numPr>
          <w:ilvl w:val="0"/>
          <w:numId w:val="0"/>
        </w:numPr>
        <w:kinsoku/>
        <w:wordWrap/>
        <w:overflowPunct/>
        <w:topLinePunct w:val="0"/>
        <w:autoSpaceDN/>
        <w:bidi w:val="0"/>
        <w:snapToGrid w:val="0"/>
        <w:spacing w:line="56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（六）</w:t>
      </w:r>
      <w:r>
        <w:rPr>
          <w:rFonts w:hint="eastAsia" w:ascii="仿宋_GB2312" w:hAnsi="仿宋_GB2312" w:eastAsia="仿宋_GB2312" w:cs="仿宋_GB2312"/>
          <w:b w:val="0"/>
          <w:bCs/>
          <w:color w:val="auto"/>
          <w:sz w:val="32"/>
          <w:szCs w:val="32"/>
        </w:rPr>
        <w:t>违约责任</w:t>
      </w:r>
    </w:p>
    <w:p>
      <w:pPr>
        <w:keepNext w:val="0"/>
        <w:keepLines w:val="0"/>
        <w:pageBreakBefore w:val="0"/>
        <w:numPr>
          <w:ilvl w:val="0"/>
          <w:numId w:val="0"/>
        </w:numPr>
        <w:kinsoku/>
        <w:wordWrap/>
        <w:overflowPunct/>
        <w:topLinePunct w:val="0"/>
        <w:autoSpaceDN/>
        <w:bidi w:val="0"/>
        <w:snapToGrid w:val="0"/>
        <w:spacing w:line="56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按合同约定。</w:t>
      </w:r>
    </w:p>
    <w:p>
      <w:pPr>
        <w:keepNext w:val="0"/>
        <w:keepLines w:val="0"/>
        <w:pageBreakBefore w:val="0"/>
        <w:numPr>
          <w:ilvl w:val="0"/>
          <w:numId w:val="3"/>
        </w:numPr>
        <w:kinsoku/>
        <w:wordWrap/>
        <w:overflowPunct/>
        <w:topLinePunct w:val="0"/>
        <w:autoSpaceDN/>
        <w:bidi w:val="0"/>
        <w:snapToGrid w:val="0"/>
        <w:spacing w:line="560" w:lineRule="exact"/>
        <w:ind w:firstLine="640" w:firstLineChars="200"/>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其他</w:t>
      </w:r>
    </w:p>
    <w:p>
      <w:pPr>
        <w:keepNext w:val="0"/>
        <w:keepLines w:val="0"/>
        <w:pageBreakBefore w:val="0"/>
        <w:numPr>
          <w:ilvl w:val="0"/>
          <w:numId w:val="0"/>
        </w:numPr>
        <w:kinsoku/>
        <w:wordWrap/>
        <w:overflowPunct/>
        <w:topLinePunct w:val="0"/>
        <w:autoSpaceDN/>
        <w:bidi w:val="0"/>
        <w:snapToGrid w:val="0"/>
        <w:spacing w:line="560" w:lineRule="exact"/>
        <w:ind w:firstLine="640" w:firstLineChars="200"/>
        <w:rPr>
          <w:rFonts w:hint="eastAsia" w:ascii="仿宋_GB2312" w:hAnsi="仿宋_GB2312" w:eastAsia="仿宋_GB2312" w:cs="仿宋_GB2312"/>
          <w:b/>
          <w:bCs w:val="0"/>
          <w:color w:val="auto"/>
          <w:sz w:val="32"/>
          <w:szCs w:val="32"/>
          <w:lang w:eastAsia="zh-CN"/>
        </w:rPr>
      </w:pPr>
      <w:r>
        <w:rPr>
          <w:rFonts w:hint="eastAsia" w:ascii="仿宋_GB2312" w:hAnsi="仿宋_GB2312" w:eastAsia="仿宋_GB2312" w:cs="仿宋_GB2312"/>
          <w:b w:val="0"/>
          <w:bCs/>
          <w:color w:val="auto"/>
          <w:sz w:val="32"/>
          <w:szCs w:val="32"/>
          <w:lang w:eastAsia="zh-CN"/>
        </w:rPr>
        <w:t>按合同约定。</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2" w:firstLineChars="200"/>
        <w:textAlignment w:val="auto"/>
        <w:rPr>
          <w:rFonts w:hint="eastAsia" w:ascii="仿宋_GB2312" w:hAnsi="仿宋_GB2312" w:eastAsia="仿宋_GB2312" w:cs="仿宋_GB2312"/>
          <w:b/>
          <w:bCs w:val="0"/>
          <w:color w:val="auto"/>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0" w:firstLineChars="0"/>
        <w:jc w:val="both"/>
        <w:textAlignment w:val="auto"/>
        <w:rPr>
          <w:rFonts w:hint="eastAsia" w:ascii="仿宋_GB2312" w:hAnsi="仿宋_GB2312" w:eastAsia="仿宋_GB2312" w:cs="仿宋_GB2312"/>
          <w:b w:val="0"/>
          <w:bCs w:val="0"/>
          <w:i w:val="0"/>
          <w:caps w:val="0"/>
          <w:color w:val="000000"/>
          <w:spacing w:val="0"/>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0" w:firstLineChars="0"/>
        <w:jc w:val="center"/>
        <w:textAlignment w:val="auto"/>
        <w:rPr>
          <w:rFonts w:hint="eastAsia" w:ascii="仿宋_GB2312" w:hAnsi="仿宋_GB2312" w:eastAsia="仿宋_GB2312" w:cs="仿宋_GB2312"/>
          <w:b w:val="0"/>
          <w:bCs w:val="0"/>
          <w:i w:val="0"/>
          <w:caps w:val="0"/>
          <w:color w:val="000000"/>
          <w:spacing w:val="0"/>
          <w:sz w:val="32"/>
          <w:szCs w:val="32"/>
          <w:lang w:eastAsia="zh-CN"/>
        </w:rPr>
      </w:pPr>
      <w:r>
        <w:rPr>
          <w:rFonts w:hint="eastAsia" w:ascii="仿宋_GB2312" w:hAnsi="仿宋_GB2312" w:eastAsia="仿宋_GB2312" w:cs="仿宋_GB2312"/>
          <w:b w:val="0"/>
          <w:bCs w:val="0"/>
          <w:i w:val="0"/>
          <w:caps w:val="0"/>
          <w:color w:val="000000"/>
          <w:spacing w:val="0"/>
          <w:sz w:val="32"/>
          <w:szCs w:val="32"/>
          <w:lang w:val="en-US" w:eastAsia="zh-CN"/>
        </w:rPr>
        <w:t xml:space="preserve">                               </w:t>
      </w:r>
      <w:r>
        <w:rPr>
          <w:rFonts w:hint="eastAsia" w:ascii="仿宋_GB2312" w:hAnsi="仿宋_GB2312" w:eastAsia="仿宋_GB2312" w:cs="仿宋_GB2312"/>
          <w:b w:val="0"/>
          <w:bCs w:val="0"/>
          <w:i w:val="0"/>
          <w:caps w:val="0"/>
          <w:color w:val="000000"/>
          <w:spacing w:val="0"/>
          <w:sz w:val="32"/>
          <w:szCs w:val="32"/>
        </w:rPr>
        <w:t>福田区人力</w:t>
      </w:r>
      <w:r>
        <w:rPr>
          <w:rFonts w:hint="eastAsia" w:ascii="仿宋_GB2312" w:hAnsi="仿宋_GB2312" w:eastAsia="仿宋_GB2312" w:cs="仿宋_GB2312"/>
          <w:b w:val="0"/>
          <w:bCs w:val="0"/>
          <w:i w:val="0"/>
          <w:caps w:val="0"/>
          <w:color w:val="000000"/>
          <w:spacing w:val="0"/>
          <w:sz w:val="32"/>
          <w:szCs w:val="32"/>
          <w:lang w:eastAsia="zh-CN"/>
        </w:rPr>
        <w:t>资源局</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pPr>
      <w:r>
        <w:rPr>
          <w:rFonts w:hint="eastAsia" w:ascii="仿宋_GB2312" w:hAnsi="仿宋_GB2312" w:eastAsia="仿宋_GB2312" w:cs="仿宋_GB2312"/>
          <w:b w:val="0"/>
          <w:bCs w:val="0"/>
          <w:i w:val="0"/>
          <w:caps w:val="0"/>
          <w:color w:val="000000"/>
          <w:spacing w:val="0"/>
          <w:sz w:val="32"/>
          <w:szCs w:val="32"/>
          <w:lang w:val="en-US" w:eastAsia="zh-CN"/>
        </w:rPr>
        <w:t xml:space="preserve">                              2025年5月8日</w:t>
      </w:r>
    </w:p>
    <w:p>
      <w:pPr>
        <w:keepNext w:val="0"/>
        <w:keepLines w:val="0"/>
        <w:pageBreakBefore w:val="0"/>
        <w:widowControl/>
        <w:kinsoku/>
        <w:wordWrap/>
        <w:overflowPunct/>
        <w:topLinePunct w:val="0"/>
        <w:autoSpaceDE/>
        <w:autoSpaceDN/>
        <w:bidi w:val="0"/>
        <w:adjustRightInd/>
        <w:snapToGrid/>
        <w:spacing w:line="560" w:lineRule="exact"/>
        <w:ind w:left="1955" w:leftChars="931" w:firstLine="0" w:firstLineChars="0"/>
        <w:jc w:val="left"/>
        <w:textAlignment w:val="auto"/>
        <w:rPr>
          <w:rFonts w:hint="eastAsia" w:ascii="方正小标宋_GBK" w:hAnsi="方正小标宋_GBK" w:eastAsia="方正小标宋_GBK" w:cs="方正小标宋_GBK"/>
          <w:color w:val="000000"/>
          <w:sz w:val="44"/>
          <w:szCs w:val="44"/>
          <w:lang w:val="en-US" w:eastAsia="zh-CN"/>
        </w:rPr>
      </w:pPr>
    </w:p>
    <w:p>
      <w:pPr>
        <w:keepNext w:val="0"/>
        <w:keepLines w:val="0"/>
        <w:pageBreakBefore w:val="0"/>
        <w:kinsoku/>
        <w:wordWrap/>
        <w:overflowPunct/>
        <w:topLinePunct w:val="0"/>
        <w:autoSpaceDN/>
        <w:bidi w:val="0"/>
        <w:spacing w:line="560" w:lineRule="exact"/>
        <w:jc w:val="right"/>
      </w:pPr>
    </w:p>
    <w:p>
      <w:pPr>
        <w:keepNext w:val="0"/>
        <w:keepLines w:val="0"/>
        <w:pageBreakBefore w:val="0"/>
        <w:kinsoku/>
        <w:wordWrap/>
        <w:overflowPunct/>
        <w:topLinePunct w:val="0"/>
        <w:autoSpaceDN/>
        <w:bidi w:val="0"/>
        <w:spacing w:line="56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FB48AC"/>
    <w:multiLevelType w:val="singleLevel"/>
    <w:tmpl w:val="A3FB48AC"/>
    <w:lvl w:ilvl="0" w:tentative="0">
      <w:start w:val="5"/>
      <w:numFmt w:val="chineseCounting"/>
      <w:suff w:val="nothing"/>
      <w:lvlText w:val="（%1）"/>
      <w:lvlJc w:val="left"/>
      <w:rPr>
        <w:rFonts w:hint="eastAsia"/>
      </w:rPr>
    </w:lvl>
  </w:abstractNum>
  <w:abstractNum w:abstractNumId="1">
    <w:nsid w:val="EFF2AD79"/>
    <w:multiLevelType w:val="singleLevel"/>
    <w:tmpl w:val="EFF2AD79"/>
    <w:lvl w:ilvl="0" w:tentative="0">
      <w:start w:val="7"/>
      <w:numFmt w:val="chineseCounting"/>
      <w:suff w:val="nothing"/>
      <w:lvlText w:val="（%1）"/>
      <w:lvlJc w:val="left"/>
      <w:rPr>
        <w:rFonts w:hint="eastAsia"/>
      </w:rPr>
    </w:lvl>
  </w:abstractNum>
  <w:abstractNum w:abstractNumId="2">
    <w:nsid w:val="FDFF6843"/>
    <w:multiLevelType w:val="singleLevel"/>
    <w:tmpl w:val="FDFF6843"/>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D7E959F"/>
    <w:rsid w:val="3EEF29EF"/>
    <w:rsid w:val="55576B31"/>
    <w:rsid w:val="556BBECD"/>
    <w:rsid w:val="5CDB196F"/>
    <w:rsid w:val="5CFF5E9C"/>
    <w:rsid w:val="5ECFD18E"/>
    <w:rsid w:val="5FF3C3D5"/>
    <w:rsid w:val="694FD96E"/>
    <w:rsid w:val="6FDFF9AD"/>
    <w:rsid w:val="7DBB2516"/>
    <w:rsid w:val="7E6D878D"/>
    <w:rsid w:val="7F7778DA"/>
    <w:rsid w:val="7FDF4FBC"/>
    <w:rsid w:val="7FEC4F09"/>
    <w:rsid w:val="7FEF9CEC"/>
    <w:rsid w:val="9D7E959F"/>
    <w:rsid w:val="9DFD81A7"/>
    <w:rsid w:val="AEB78651"/>
    <w:rsid w:val="AFF34C85"/>
    <w:rsid w:val="B7CDF51E"/>
    <w:rsid w:val="B8FF7A87"/>
    <w:rsid w:val="BDDFA672"/>
    <w:rsid w:val="BE9DA4E2"/>
    <w:rsid w:val="BEFFCC6F"/>
    <w:rsid w:val="BFBFAD9B"/>
    <w:rsid w:val="CFFF772B"/>
    <w:rsid w:val="D2F7011C"/>
    <w:rsid w:val="D5D7D642"/>
    <w:rsid w:val="DDBA2ABF"/>
    <w:rsid w:val="DE3A7A58"/>
    <w:rsid w:val="DED74573"/>
    <w:rsid w:val="DF3FD10A"/>
    <w:rsid w:val="E37F1E5B"/>
    <w:rsid w:val="E7D7C65E"/>
    <w:rsid w:val="E7EFDD0C"/>
    <w:rsid w:val="E7FBACD8"/>
    <w:rsid w:val="EE5A3F98"/>
    <w:rsid w:val="EFDFDC91"/>
    <w:rsid w:val="EFE0FF8E"/>
    <w:rsid w:val="F6DC83BC"/>
    <w:rsid w:val="F8FDF278"/>
    <w:rsid w:val="F9BFA12A"/>
    <w:rsid w:val="FA3E208B"/>
    <w:rsid w:val="FCFE8759"/>
    <w:rsid w:val="FEFF0367"/>
    <w:rsid w:val="FF65FD24"/>
    <w:rsid w:val="FFBBF355"/>
    <w:rsid w:val="FFCF8896"/>
    <w:rsid w:val="FFDA7541"/>
    <w:rsid w:val="FFF5C743"/>
    <w:rsid w:val="FFF7CE36"/>
    <w:rsid w:val="FFFE4049"/>
    <w:rsid w:val="FFFF3F7A"/>
    <w:rsid w:val="FFFF4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spacing w:line="560" w:lineRule="exact"/>
      <w:ind w:firstLine="420" w:firstLineChars="200"/>
      <w:jc w:val="both"/>
    </w:pPr>
    <w:rPr>
      <w:rFonts w:ascii="Calibri" w:hAnsi="Calibri" w:eastAsia="宋体" w:cs="Times New Roman"/>
      <w:kern w:val="2"/>
      <w:sz w:val="21"/>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paragraph" w:customStyle="1" w:styleId="8">
    <w:name w:val="HL正文样式"/>
    <w:qFormat/>
    <w:uiPriority w:val="0"/>
    <w:pPr>
      <w:widowControl w:val="0"/>
      <w:spacing w:line="360" w:lineRule="auto"/>
      <w:ind w:firstLine="200" w:firstLineChars="200"/>
      <w:jc w:val="both"/>
    </w:pPr>
    <w:rPr>
      <w:rFonts w:ascii="Arial" w:hAnsi="Arial" w:eastAsia="宋体" w:cs="Times New Roman"/>
      <w:kern w:val="2"/>
      <w:sz w:val="24"/>
      <w:szCs w:val="22"/>
      <w:lang w:val="en-US" w:eastAsia="zh-CN" w:bidi="ar-SA"/>
    </w:rPr>
  </w:style>
  <w:style w:type="paragraph" w:customStyle="1" w:styleId="9">
    <w:name w:val="PlainText"/>
    <w:qFormat/>
    <w:uiPriority w:val="0"/>
    <w:pPr>
      <w:widowControl w:val="0"/>
      <w:jc w:val="both"/>
      <w:textAlignment w:val="baseline"/>
    </w:pPr>
    <w:rPr>
      <w:rFonts w:ascii="宋体"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2025-01-23T08:17:00Z</dcterms:created>
  <dc:creator>黄柏瑜</dc:creator>
  <cp:lastModifiedBy>黄柏瑜</cp:lastModifiedBy>
  <cp:lastPrinted>2025-05-09T18:16:00Z</cp:lastPrinted>
  <dcterms:modified xsi:type="dcterms:W3CDTF">2025-05-08T11:24:01Z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A659BE3D0B1F3BA2D1231C680EFBA27A</vt:lpwstr>
  </property>
</Properties>
</file>