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220"/>
        <w:gridCol w:w="2935"/>
        <w:gridCol w:w="1925"/>
        <w:gridCol w:w="1646"/>
        <w:gridCol w:w="1674"/>
      </w:tblGrid>
      <w:tr>
        <w:tblPrEx>
          <w:tblCellMar>
            <w:top w:w="0" w:type="dxa"/>
            <w:left w:w="108" w:type="dxa"/>
            <w:bottom w:w="0" w:type="dxa"/>
            <w:right w:w="108" w:type="dxa"/>
          </w:tblCellMar>
        </w:tblPrEx>
        <w:trPr>
          <w:trHeight w:val="771" w:hRule="exact"/>
        </w:trPr>
        <w:tc>
          <w:tcPr>
            <w:tcW w:w="6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5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福保街道石厦村出租屋公共区域消防设施采购项目</w:t>
            </w:r>
          </w:p>
        </w:tc>
        <w:tc>
          <w:tcPr>
            <w:tcW w:w="8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89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98</w:t>
            </w:r>
            <w:r>
              <w:rPr>
                <w:rFonts w:hint="eastAsia" w:ascii="仿宋_GB2312" w:hAnsi="仿宋_GB2312" w:eastAsia="仿宋_GB2312" w:cs="仿宋_GB2312"/>
                <w:kern w:val="0"/>
                <w:sz w:val="24"/>
              </w:rPr>
              <w:t>万元</w:t>
            </w:r>
          </w:p>
        </w:tc>
      </w:tr>
      <w:tr>
        <w:tblPrEx>
          <w:tblCellMar>
            <w:top w:w="0" w:type="dxa"/>
            <w:left w:w="108" w:type="dxa"/>
            <w:bottom w:w="0" w:type="dxa"/>
            <w:right w:w="108" w:type="dxa"/>
          </w:tblCellMar>
        </w:tblPrEx>
        <w:trPr>
          <w:trHeight w:val="621" w:hRule="exac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5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福保街道城建办</w:t>
            </w:r>
          </w:p>
        </w:tc>
        <w:tc>
          <w:tcPr>
            <w:tcW w:w="8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8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苏工</w:t>
            </w:r>
          </w:p>
        </w:tc>
      </w:tr>
      <w:tr>
        <w:tblPrEx>
          <w:tblCellMar>
            <w:top w:w="0" w:type="dxa"/>
            <w:left w:w="108" w:type="dxa"/>
            <w:bottom w:w="0" w:type="dxa"/>
            <w:right w:w="108" w:type="dxa"/>
          </w:tblCellMar>
        </w:tblPrEx>
        <w:trPr>
          <w:trHeight w:val="240"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56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23"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176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为顺利完成福保街道火灾高风险区域整治和挂牌督办整治验收工作，根据《全市火灾高风险区域整治工作验收标准》中“非住宅类居住场所消防安全评估细则”，结合石厦村出租屋实际情况，拟采购消防设施，配置安装于石厦村（包括石厦东村、石厦西村）各出租屋公共区域，以减少石厦村火灾风险隐患，提升消防救援水平，推动火灾隐患整治摘牌工作。</w:t>
            </w:r>
          </w:p>
        </w:tc>
      </w:tr>
      <w:tr>
        <w:tblPrEx>
          <w:tblCellMar>
            <w:top w:w="0" w:type="dxa"/>
            <w:left w:w="108" w:type="dxa"/>
            <w:bottom w:w="0" w:type="dxa"/>
            <w:right w:w="108" w:type="dxa"/>
          </w:tblCellMar>
        </w:tblPrEx>
        <w:trPr>
          <w:trHeight w:val="1985" w:hRule="atLeast"/>
        </w:trPr>
        <w:tc>
          <w:tcPr>
            <w:tcW w:w="6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项目采购内容：</w:t>
            </w:r>
          </w:p>
          <w:p>
            <w:pPr>
              <w:pStyle w:val="3"/>
              <w:numPr>
                <w:ilvl w:val="0"/>
                <w:numId w:val="0"/>
              </w:numPr>
              <w:ind w:leftChars="0" w:right="0" w:rightChars="0" w:firstLine="480" w:firstLineChars="200"/>
              <w:rPr>
                <w:rFonts w:hint="eastAsia" w:cs="仿宋_GB2312"/>
                <w:kern w:val="0"/>
                <w:sz w:val="24"/>
                <w:lang w:val="en-US" w:eastAsia="zh-CN"/>
              </w:rPr>
            </w:pPr>
            <w:r>
              <w:rPr>
                <w:rFonts w:hint="eastAsia" w:cs="仿宋_GB2312"/>
                <w:kern w:val="0"/>
                <w:sz w:val="24"/>
                <w:lang w:val="en-US" w:eastAsia="zh-CN"/>
              </w:rPr>
              <w:t>出租屋公共区域消防设施，包括但不限于：干粉灭火器，灭火器箱体，应急逃生指示牌，应急照明灯，独立式光电烟感报警器，无线声光警报器，物联网传输装置，消防软管卷盘，救生缓降器（包括20米、25米、35米、50米）等；</w:t>
            </w:r>
          </w:p>
          <w:p>
            <w:pPr>
              <w:ind w:firstLine="482" w:firstLineChars="200"/>
              <w:rPr>
                <w:rFonts w:hint="default"/>
                <w:lang w:val="en-US" w:eastAsia="zh-CN"/>
              </w:rPr>
            </w:pPr>
            <w:r>
              <w:rPr>
                <w:rFonts w:hint="eastAsia" w:cs="仿宋_GB2312"/>
                <w:b/>
                <w:bCs/>
                <w:kern w:val="0"/>
                <w:sz w:val="24"/>
                <w:lang w:val="en-US" w:eastAsia="zh-CN"/>
              </w:rPr>
              <w:t>具体采购内容、数量和要求详见附件需求清单；本次招标项目的投标方必须保证招标的货物或产品为生产厂家的正规合格产品，符合国家标准和行业标准，并按正规销售渠道供货。</w:t>
            </w:r>
          </w:p>
        </w:tc>
      </w:tr>
      <w:tr>
        <w:tblPrEx>
          <w:tblCellMar>
            <w:top w:w="0" w:type="dxa"/>
            <w:left w:w="108" w:type="dxa"/>
            <w:bottom w:w="0" w:type="dxa"/>
            <w:right w:w="108" w:type="dxa"/>
          </w:tblCellMar>
        </w:tblPrEx>
        <w:trPr>
          <w:trHeight w:val="90" w:hRule="atLeast"/>
        </w:trPr>
        <w:tc>
          <w:tcPr>
            <w:tcW w:w="6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numPr>
                <w:ilvl w:val="0"/>
                <w:numId w:val="0"/>
              </w:numPr>
              <w:spacing w:line="240" w:lineRule="auto"/>
              <w:jc w:val="left"/>
              <w:rPr>
                <w:rFonts w:hint="default"/>
                <w:lang w:val="en-US" w:eastAsia="zh-CN"/>
              </w:rPr>
            </w:pPr>
            <w:r>
              <w:rPr>
                <w:rFonts w:hint="eastAsia" w:ascii="仿宋_GB2312" w:hAnsi="仿宋_GB2312" w:eastAsia="仿宋_GB2312" w:cs="仿宋_GB2312"/>
                <w:kern w:val="0"/>
                <w:sz w:val="24"/>
                <w:lang w:val="en-US" w:eastAsia="zh-CN"/>
              </w:rPr>
              <w:t>1.服务期限：自合同签订之日起30个工作日内完成交付。</w:t>
            </w:r>
          </w:p>
          <w:p>
            <w:pPr>
              <w:pStyle w:val="3"/>
              <w:ind w:left="0" w:leftChars="0" w:firstLine="0" w:firstLineChars="0"/>
              <w:rPr>
                <w:rFonts w:hint="default"/>
                <w:lang w:val="en-US" w:eastAsia="zh-CN"/>
              </w:rPr>
            </w:pPr>
            <w:r>
              <w:rPr>
                <w:rFonts w:hint="eastAsia" w:cs="仿宋_GB2312"/>
                <w:kern w:val="0"/>
                <w:sz w:val="24"/>
                <w:lang w:val="en-US" w:eastAsia="zh-CN"/>
              </w:rPr>
              <w:t>2.设施由中标供应商负责配送至指定地点，并由负责完成安装调试，相关成本已包含各产品价格中，供应商不得另行主张相关费用。</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szCs w:val="32"/>
                <w:lang w:val="en-US" w:eastAsia="zh-CN" w:bidi="zh-CN"/>
              </w:rPr>
              <w:t>3.</w:t>
            </w:r>
            <w:r>
              <w:rPr>
                <w:rFonts w:hint="eastAsia" w:ascii="仿宋_GB2312" w:hAnsi="仿宋_GB2312" w:eastAsia="仿宋_GB2312" w:cs="仿宋_GB2312"/>
                <w:kern w:val="0"/>
                <w:sz w:val="24"/>
              </w:rPr>
              <w:t>付款方式：</w:t>
            </w:r>
            <w:r>
              <w:rPr>
                <w:rFonts w:hint="eastAsia" w:ascii="仿宋_GB2312" w:hAnsi="仿宋_GB2312" w:eastAsia="仿宋_GB2312" w:cs="仿宋_GB2312"/>
                <w:kern w:val="0"/>
                <w:sz w:val="24"/>
                <w:lang w:eastAsia="zh-CN"/>
              </w:rPr>
              <w:t>分期付款，每次支付款项</w:t>
            </w:r>
            <w:r>
              <w:rPr>
                <w:rFonts w:hint="eastAsia" w:ascii="仿宋_GB2312" w:hAnsi="仿宋_GB2312" w:eastAsia="仿宋_GB2312" w:cs="仿宋_GB2312"/>
                <w:kern w:val="0"/>
                <w:sz w:val="24"/>
              </w:rPr>
              <w:t>中</w:t>
            </w:r>
            <w:r>
              <w:rPr>
                <w:rFonts w:hint="eastAsia" w:ascii="仿宋_GB2312" w:hAnsi="仿宋_GB2312" w:eastAsia="仿宋_GB2312" w:cs="仿宋_GB2312"/>
                <w:kern w:val="0"/>
                <w:sz w:val="24"/>
                <w:lang w:eastAsia="zh-CN"/>
              </w:rPr>
              <w:t>，供</w:t>
            </w:r>
            <w:r>
              <w:rPr>
                <w:rFonts w:hint="eastAsia" w:ascii="仿宋_GB2312" w:hAnsi="仿宋_GB2312" w:eastAsia="仿宋_GB2312" w:cs="仿宋_GB2312"/>
                <w:kern w:val="0"/>
                <w:sz w:val="24"/>
              </w:rPr>
              <w:t>应商</w:t>
            </w:r>
            <w:r>
              <w:rPr>
                <w:rFonts w:hint="eastAsia" w:ascii="仿宋_GB2312" w:hAnsi="仿宋_GB2312" w:eastAsia="仿宋_GB2312" w:cs="仿宋_GB2312"/>
                <w:kern w:val="0"/>
                <w:sz w:val="24"/>
                <w:lang w:eastAsia="zh-CN"/>
              </w:rPr>
              <w:t>需</w:t>
            </w:r>
            <w:r>
              <w:rPr>
                <w:rFonts w:hint="eastAsia" w:ascii="仿宋_GB2312" w:hAnsi="仿宋_GB2312" w:eastAsia="仿宋_GB2312" w:cs="仿宋_GB2312"/>
                <w:kern w:val="0"/>
                <w:sz w:val="24"/>
              </w:rPr>
              <w:t>提供符合规定的发票</w:t>
            </w:r>
            <w:r>
              <w:rPr>
                <w:rFonts w:hint="eastAsia" w:ascii="仿宋_GB2312" w:hAnsi="仿宋_GB2312" w:eastAsia="仿宋_GB2312" w:cs="仿宋_GB2312"/>
                <w:kern w:val="0"/>
                <w:sz w:val="24"/>
                <w:lang w:eastAsia="zh-CN"/>
              </w:rPr>
              <w:t>。合同签订后，支付至合同价</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项目验收合格后，</w:t>
            </w:r>
            <w:r>
              <w:rPr>
                <w:rFonts w:hint="eastAsia" w:ascii="仿宋_GB2312" w:hAnsi="仿宋_GB2312" w:eastAsia="仿宋_GB2312" w:cs="仿宋_GB2312"/>
                <w:kern w:val="0"/>
                <w:sz w:val="24"/>
                <w:lang w:eastAsia="zh-CN"/>
              </w:rPr>
              <w:t>按照采购方确认的实际交付的货物及对应的综合单价进行结算，支付至最终实际结算金额</w:t>
            </w:r>
            <w:r>
              <w:rPr>
                <w:rFonts w:hint="eastAsia" w:ascii="仿宋_GB2312" w:hAnsi="仿宋_GB2312" w:eastAsia="仿宋_GB2312" w:cs="仿宋_GB2312"/>
                <w:kern w:val="0"/>
                <w:sz w:val="24"/>
                <w:lang w:val="en-US" w:eastAsia="zh-CN"/>
              </w:rPr>
              <w:t>100%。</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4.报价要求：</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(1)本项目的需求清单按单价方式进行报价，总计报价不超过98万元；</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(2)报价需按要求列明品牌、规格、型号、基本参数、价格和图片等；</w:t>
            </w:r>
            <w:bookmarkStart w:id="0" w:name="_GoBack"/>
            <w:bookmarkEnd w:id="0"/>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(3)报价包含税费、运输费用、安装费用、调试费用等。</w:t>
            </w:r>
          </w:p>
          <w:p>
            <w:pPr>
              <w:rPr>
                <w:rFonts w:hint="default"/>
                <w:lang w:val="en-US" w:eastAsia="zh-CN"/>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456" w:hRule="atLeast"/>
        </w:trPr>
        <w:tc>
          <w:tcPr>
            <w:tcW w:w="6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2902" w:hRule="atLeast"/>
        </w:trPr>
        <w:tc>
          <w:tcPr>
            <w:tcW w:w="6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1、公司</w:t>
            </w:r>
            <w:r>
              <w:rPr>
                <w:rFonts w:hint="eastAsia" w:ascii="仿宋_GB2312" w:hAnsi="仿宋_GB2312" w:eastAsia="仿宋_GB2312" w:cs="仿宋_GB2312"/>
                <w:kern w:val="0"/>
                <w:sz w:val="24"/>
                <w:lang w:eastAsia="zh-CN"/>
              </w:rPr>
              <w:t>详细介绍</w:t>
            </w:r>
            <w:r>
              <w:rPr>
                <w:rFonts w:hint="eastAsia" w:ascii="仿宋_GB2312" w:hAnsi="仿宋_GB2312" w:eastAsia="仿宋_GB2312" w:cs="仿宋_GB2312"/>
                <w:kern w:val="0"/>
                <w:sz w:val="24"/>
              </w:rPr>
              <w:t>、概况等材料；营业执照、经营范围等相关资质复印件；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2、投标报价单（包含品牌、型号</w:t>
            </w:r>
            <w:r>
              <w:rPr>
                <w:rFonts w:hint="eastAsia" w:ascii="仿宋_GB2312" w:hAnsi="仿宋_GB2312" w:eastAsia="仿宋_GB2312" w:cs="仿宋_GB2312"/>
                <w:kern w:val="0"/>
                <w:sz w:val="24"/>
                <w:lang w:eastAsia="zh-CN"/>
              </w:rPr>
              <w:t>、规格</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基本参数、</w:t>
            </w:r>
            <w:r>
              <w:rPr>
                <w:rFonts w:hint="eastAsia" w:ascii="仿宋_GB2312" w:hAnsi="仿宋_GB2312" w:eastAsia="仿宋_GB2312" w:cs="仿宋_GB2312"/>
                <w:kern w:val="0"/>
                <w:sz w:val="24"/>
              </w:rPr>
              <w:t>价格</w:t>
            </w:r>
            <w:r>
              <w:rPr>
                <w:rFonts w:hint="eastAsia" w:ascii="仿宋_GB2312" w:hAnsi="仿宋_GB2312" w:eastAsia="仿宋_GB2312" w:cs="仿宋_GB2312"/>
                <w:kern w:val="0"/>
                <w:sz w:val="24"/>
                <w:lang w:eastAsia="zh-CN"/>
              </w:rPr>
              <w:t>、图片等</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同类项目</w:t>
            </w:r>
            <w:r>
              <w:rPr>
                <w:rFonts w:hint="eastAsia" w:ascii="仿宋_GB2312" w:hAnsi="仿宋_GB2312" w:eastAsia="仿宋_GB2312" w:cs="仿宋_GB2312"/>
                <w:kern w:val="0"/>
                <w:sz w:val="24"/>
              </w:rPr>
              <w:t>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、其他响应采购需求的材料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default" w:ascii="仿宋_GB2312" w:hAnsi="仿宋_GB2312" w:eastAsia="仿宋_GB2312" w:cs="仿宋_GB2312"/>
                <w:kern w:val="0"/>
                <w:sz w:val="24"/>
                <w:lang w:val="en-US"/>
              </w:rPr>
            </w:pPr>
            <w:r>
              <w:rPr>
                <w:rFonts w:hint="eastAsia" w:ascii="仿宋_GB2312" w:hAnsi="仿宋_GB2312" w:eastAsia="仿宋_GB2312" w:cs="仿宋_GB2312"/>
                <w:sz w:val="24"/>
                <w:lang w:val="en-US" w:eastAsia="zh-CN"/>
              </w:rPr>
              <w:t>7、投标供应商需填写并提供附件《供应商基本情况表》，《供应商基本情况表》为投标文件不可缺少组成部分，未提供或提供不完整、不符合要求的，将可能导致投标无效。</w:t>
            </w:r>
          </w:p>
          <w:p>
            <w:pPr>
              <w:widowControl/>
              <w:spacing w:line="240" w:lineRule="auto"/>
              <w:ind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b w:val="0"/>
                <w:bCs w:val="0"/>
                <w:sz w:val="24"/>
                <w:lang w:val="en-US" w:eastAsia="zh-CN"/>
              </w:rPr>
              <w:t>投标文件需要有投标文件封面，</w:t>
            </w: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00172A27"/>
    <w:rsid w:val="01B02BA5"/>
    <w:rsid w:val="091C13C7"/>
    <w:rsid w:val="0A4669B5"/>
    <w:rsid w:val="11312983"/>
    <w:rsid w:val="14C24AD9"/>
    <w:rsid w:val="172C00A3"/>
    <w:rsid w:val="18B761FE"/>
    <w:rsid w:val="194B399D"/>
    <w:rsid w:val="1AF3636A"/>
    <w:rsid w:val="1CD203FA"/>
    <w:rsid w:val="1D1041D7"/>
    <w:rsid w:val="251026CF"/>
    <w:rsid w:val="27FF4AC9"/>
    <w:rsid w:val="2E544988"/>
    <w:rsid w:val="2FBB6ACC"/>
    <w:rsid w:val="304A7E50"/>
    <w:rsid w:val="334D7C7F"/>
    <w:rsid w:val="340E45C5"/>
    <w:rsid w:val="3EB74A0A"/>
    <w:rsid w:val="3F1434CE"/>
    <w:rsid w:val="416451E2"/>
    <w:rsid w:val="43E22B0F"/>
    <w:rsid w:val="447E6A90"/>
    <w:rsid w:val="46B67F33"/>
    <w:rsid w:val="4E144BA8"/>
    <w:rsid w:val="51BA04A8"/>
    <w:rsid w:val="57AD6E4E"/>
    <w:rsid w:val="587C663C"/>
    <w:rsid w:val="59FD49EF"/>
    <w:rsid w:val="5A771A36"/>
    <w:rsid w:val="5C8F69B7"/>
    <w:rsid w:val="5EBA216A"/>
    <w:rsid w:val="66AD6A92"/>
    <w:rsid w:val="66C374B6"/>
    <w:rsid w:val="6A1555D3"/>
    <w:rsid w:val="6B9F26D5"/>
    <w:rsid w:val="6FE83F3F"/>
    <w:rsid w:val="73FDE9AE"/>
    <w:rsid w:val="79E316A2"/>
    <w:rsid w:val="7C9A35BC"/>
    <w:rsid w:val="7CFACF0B"/>
    <w:rsid w:val="7E97605D"/>
    <w:rsid w:val="7F34677C"/>
    <w:rsid w:val="7FFF6BA0"/>
    <w:rsid w:val="7FFFA8D5"/>
    <w:rsid w:val="ACEF026E"/>
    <w:rsid w:val="B8FAEBAC"/>
    <w:rsid w:val="BAEF7002"/>
    <w:rsid w:val="CFB6416C"/>
    <w:rsid w:val="D1FFEFC3"/>
    <w:rsid w:val="D3B8C37D"/>
    <w:rsid w:val="D537D8C6"/>
    <w:rsid w:val="DBBAC359"/>
    <w:rsid w:val="F7ADCAED"/>
    <w:rsid w:val="F7FFDF72"/>
    <w:rsid w:val="FDDEAE8F"/>
    <w:rsid w:val="FEBD3C66"/>
    <w:rsid w:val="FEFF3165"/>
    <w:rsid w:val="FF7FA873"/>
    <w:rsid w:val="FFD91144"/>
    <w:rsid w:val="FFFEBF7D"/>
    <w:rsid w:val="FFFFB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2023-11-09T01:41:00Z</dcterms:created>
  <dc:creator>lulu</dc:creator>
  <cp:lastModifiedBy>lulu</cp:lastModifiedBy>
  <cp:lastPrinted>2024-04-29T10:20:00Z</cp:lastPrinted>
  <dcterms:modified xsi:type="dcterms:W3CDTF">2025-04-28T03:05:38Z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C3B6A317B715425EBD934ECC3077B405</vt:lpwstr>
  </property>
</Properties>
</file>