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《深圳市福田区物业专项维修资金管理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指引（征求意见稿）》起草说明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lang w:val="en-US" w:eastAsia="zh-CN"/>
        </w:rPr>
        <w:t>福田区</w:t>
      </w:r>
      <w:r>
        <w:rPr>
          <w:rFonts w:hint="eastAsia" w:ascii="仿宋_GB2312" w:hAnsi="仿宋_GB2312" w:eastAsia="仿宋_GB2312" w:cs="仿宋_GB2312"/>
          <w:sz w:val="32"/>
          <w:szCs w:val="32"/>
          <w:lang w:eastAsia="zh-CN"/>
        </w:rPr>
        <w:t>物业专项维修资金管理活动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保障物业共有部位、共有设施设备正常使用，</w:t>
      </w:r>
      <w:r>
        <w:rPr>
          <w:rFonts w:hint="eastAsia" w:ascii="仿宋_GB2312" w:hAnsi="仿宋_GB2312" w:eastAsia="仿宋_GB2312" w:cs="仿宋_GB2312"/>
          <w:sz w:val="32"/>
          <w:szCs w:val="32"/>
        </w:rPr>
        <w:t>提高物业专项维修资金使用效率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结合本区实际，深圳市福田区住房和建设局起草了《</w:t>
      </w:r>
      <w:r>
        <w:rPr>
          <w:rFonts w:hint="eastAsia" w:ascii="仿宋_GB2312" w:hAnsi="仿宋_GB2312" w:eastAsia="仿宋_GB2312" w:cs="仿宋_GB2312"/>
          <w:sz w:val="32"/>
          <w:szCs w:val="32"/>
          <w:lang w:eastAsia="zh-CN"/>
        </w:rPr>
        <w:t>深圳市福田</w:t>
      </w:r>
      <w:r>
        <w:rPr>
          <w:rFonts w:hint="eastAsia" w:ascii="仿宋_GB2312" w:hAnsi="仿宋_GB2312" w:eastAsia="仿宋_GB2312" w:cs="仿宋_GB2312"/>
          <w:sz w:val="32"/>
          <w:szCs w:val="32"/>
        </w:rPr>
        <w:t>区物业专项维修资金</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指引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》（以下简称《管理指引》），现就有关情况说明如下：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lang w:val="en-US" w:eastAsia="zh-CN"/>
        </w:rPr>
      </w:pPr>
      <w:r>
        <w:rPr>
          <w:rFonts w:hint="eastAsia" w:ascii="黑体" w:hAnsi="黑体" w:eastAsia="黑体" w:cs="黑体"/>
          <w:b w:val="0"/>
          <w:bCs w:val="0"/>
          <w:kern w:val="2"/>
          <w:sz w:val="32"/>
          <w:szCs w:val="24"/>
          <w:lang w:val="en-US" w:eastAsia="zh-CN" w:bidi="ar-SA"/>
        </w:rPr>
        <w:t>一、</w:t>
      </w:r>
      <w:r>
        <w:rPr>
          <w:rFonts w:hint="eastAsia" w:ascii="黑体" w:hAnsi="黑体" w:eastAsia="黑体" w:cs="黑体"/>
          <w:b w:val="0"/>
          <w:bCs w:val="0"/>
          <w:sz w:val="32"/>
          <w:lang w:val="en-US" w:eastAsia="zh-CN"/>
        </w:rPr>
        <w:t>起草背景和必要性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随着城市化加速推进，人们对居住环境的要求不断提高，物业专项维修资金使用和需求日益增大。物业专项维修资金作为“房屋养老金”，对保障住宅共用部位、共用设施设备得到及时维修和更新改造具有重要作用，提升居住舒适性和安全性起到了积极的作用。但随着物业专项维修资金工作的深入开展，也出现了许多亟待解决的新情况、新矛盾、新问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为加强福田区物业专项维修资金使用管理，保障物业共有</w:t>
      </w:r>
      <w:r>
        <w:rPr>
          <w:rFonts w:hint="eastAsia" w:ascii="仿宋_GB2312" w:hAnsi="仿宋_GB2312" w:eastAsia="仿宋_GB2312" w:cs="仿宋_GB2312"/>
          <w:sz w:val="32"/>
          <w:szCs w:val="32"/>
          <w:lang w:eastAsia="zh-CN"/>
        </w:rPr>
        <w:t>部位、共有设施设备正常使用，</w:t>
      </w:r>
      <w:r>
        <w:rPr>
          <w:rFonts w:hint="eastAsia" w:ascii="仿宋_GB2312" w:hAnsi="仿宋_GB2312" w:eastAsia="仿宋_GB2312" w:cs="仿宋_GB2312"/>
          <w:sz w:val="32"/>
          <w:szCs w:val="32"/>
        </w:rPr>
        <w:t>提高物业专项维修资金使用效率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满足我区物业专项维修资金管理工作实际需要，提升我区物业专项维修资金管理水平，有必要起草《管理指引》。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二、修订依据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1.《中华人民共和国民法典》</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2.《深圳经济特区物业管理条例》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3.《深圳市物业专项维修资金管理规定》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三</w:t>
      </w:r>
      <w:r>
        <w:rPr>
          <w:rFonts w:hint="eastAsia" w:ascii="仿宋_GB2312" w:hAnsi="仿宋_GB2312" w:eastAsia="仿宋_GB2312" w:cs="仿宋_GB2312"/>
          <w:kern w:val="2"/>
          <w:sz w:val="32"/>
          <w:szCs w:val="32"/>
          <w:lang w:val="en-US" w:eastAsia="zh-CN" w:bidi="ar-SA"/>
        </w:rPr>
        <w:t>、</w:t>
      </w:r>
      <w:r>
        <w:rPr>
          <w:rFonts w:hint="eastAsia" w:ascii="黑体" w:hAnsi="黑体" w:eastAsia="黑体" w:cs="黑体"/>
          <w:kern w:val="2"/>
          <w:sz w:val="32"/>
          <w:szCs w:val="32"/>
          <w:lang w:val="en-US" w:eastAsia="zh-CN" w:bidi="ar-SA"/>
        </w:rPr>
        <w:t>主要内容说明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《管理指引》共设总则，职责分工，缴交和续筹，使用管理，附则共五章共三十九条。具体内容如下：</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（一）总则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该部分为《管理指引》的第一条至第三条，分别明确了制定依据、使用范围、使用限制。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第一条明确了需</w:t>
      </w:r>
      <w:r>
        <w:rPr>
          <w:rFonts w:hint="eastAsia" w:ascii="仿宋_GB2312" w:hAnsi="仿宋_GB2312" w:eastAsia="仿宋_GB2312" w:cs="仿宋_GB2312"/>
          <w:sz w:val="32"/>
          <w:szCs w:val="32"/>
          <w:lang w:eastAsia="zh-CN"/>
        </w:rPr>
        <w:t>规范物业专项维修资金管理活动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保障物业共有部位、共有设施设备正常使用，</w:t>
      </w:r>
      <w:r>
        <w:rPr>
          <w:rFonts w:hint="eastAsia" w:ascii="仿宋_GB2312" w:hAnsi="仿宋_GB2312" w:eastAsia="仿宋_GB2312" w:cs="仿宋_GB2312"/>
          <w:sz w:val="32"/>
          <w:szCs w:val="32"/>
        </w:rPr>
        <w:t>提高物业专项维修资金使用效率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第二条明确了物业专项维修资金的使用范围，包括</w:t>
      </w:r>
      <w:r>
        <w:rPr>
          <w:rFonts w:hint="eastAsia" w:ascii="仿宋_GB2312" w:hAnsi="仿宋_GB2312" w:eastAsia="仿宋_GB2312" w:cs="仿宋_GB2312"/>
          <w:sz w:val="32"/>
          <w:szCs w:val="32"/>
        </w:rPr>
        <w:t>用于物业保修期满后共有物业的安全检测鉴定、维修、更新、改造，以及共有物业维修、更新和改造过程中所产生的设计、监理、验收及结算等费用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第三条明确了物业专项维修资金使用限制的情况下，</w:t>
      </w:r>
      <w:r>
        <w:rPr>
          <w:rFonts w:hint="eastAsia" w:ascii="仿宋_GB2312" w:hAnsi="仿宋_GB2312" w:eastAsia="仿宋_GB2312" w:cs="仿宋_GB2312"/>
          <w:b w:val="0"/>
          <w:bCs w:val="0"/>
          <w:sz w:val="32"/>
          <w:szCs w:val="32"/>
          <w:lang w:val="en-US" w:eastAsia="zh-CN"/>
        </w:rPr>
        <w:t>应当由相应的责任单位或当事人承担费用。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lang w:val="en-US" w:eastAsia="zh-CN"/>
        </w:rPr>
        <w:t>职责分工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该部分为《管理指引》的第四条至第五条，分别明确了区住房建设局、街道办事处的具体工作职责。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第四条明确了区住房建设部门对物业专项维修资金监督管理工作的职责。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第五条明确了街道办事处负责对属地物业专项维修资金监督管理，协助区住房建设部门开展</w:t>
      </w:r>
      <w:r>
        <w:rPr>
          <w:rFonts w:hint="eastAsia" w:ascii="仿宋_GB2312" w:hAnsi="仿宋_GB2312" w:eastAsia="仿宋_GB2312" w:cs="仿宋_GB2312"/>
          <w:sz w:val="32"/>
          <w:szCs w:val="32"/>
          <w:lang w:eastAsia="zh-CN"/>
        </w:rPr>
        <w:t>物业专项维修资金收取的相关工作。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lang w:val="en-US" w:eastAsia="zh-CN"/>
        </w:rPr>
        <w:t>缴交和续筹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该部分为《管理指引》的第六条至第十条，分别明确了物业专项维修资金设立、日常维修金缴存、日常维修金缴存监督、首期维修金追缴、维修金续筹。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第六条明确了物业管理区域内需设立物业专项维修金的情况。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lang w:val="en-US" w:eastAsia="zh-CN"/>
        </w:rPr>
        <w:t>第七条明确了日常维修金交存可由业主大会决定，管理方式分为移交</w:t>
      </w:r>
      <w:r>
        <w:rPr>
          <w:rFonts w:hint="eastAsia" w:ascii="仿宋_GB2312" w:hAnsi="仿宋_GB2312" w:eastAsia="仿宋_GB2312" w:cs="仿宋_GB2312"/>
          <w:color w:val="auto"/>
          <w:kern w:val="0"/>
          <w:sz w:val="32"/>
          <w:szCs w:val="32"/>
        </w:rPr>
        <w:t>市管理机构统一管理</w:t>
      </w:r>
      <w:r>
        <w:rPr>
          <w:rFonts w:hint="eastAsia" w:ascii="仿宋_GB2312" w:hAnsi="仿宋_GB2312" w:eastAsia="仿宋_GB2312" w:cs="仿宋_GB2312"/>
          <w:color w:val="auto"/>
          <w:kern w:val="0"/>
          <w:sz w:val="32"/>
          <w:szCs w:val="32"/>
          <w:lang w:eastAsia="zh-CN"/>
        </w:rPr>
        <w:t>或依法自行管理。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第八条明确了</w:t>
      </w:r>
      <w:r>
        <w:rPr>
          <w:rFonts w:hint="eastAsia" w:ascii="仿宋_GB2312" w:hAnsi="仿宋_GB2312" w:eastAsia="仿宋_GB2312" w:cs="仿宋_GB2312"/>
          <w:color w:val="auto"/>
          <w:kern w:val="0"/>
          <w:sz w:val="32"/>
          <w:szCs w:val="32"/>
          <w:lang w:val="en-US" w:eastAsia="zh-CN"/>
        </w:rPr>
        <w:t>区住房建设部门与街道办事处</w:t>
      </w:r>
      <w:r>
        <w:rPr>
          <w:rFonts w:hint="eastAsia" w:ascii="仿宋_GB2312" w:hAnsi="仿宋_GB2312" w:eastAsia="仿宋_GB2312" w:cs="仿宋_GB2312"/>
          <w:color w:val="auto"/>
          <w:kern w:val="0"/>
          <w:sz w:val="32"/>
          <w:szCs w:val="32"/>
          <w:lang w:eastAsia="zh-CN"/>
        </w:rPr>
        <w:t>对</w:t>
      </w:r>
      <w:r>
        <w:rPr>
          <w:rFonts w:hint="eastAsia" w:ascii="仿宋_GB2312" w:hAnsi="仿宋_GB2312" w:eastAsia="仿宋_GB2312" w:cs="仿宋_GB2312"/>
          <w:color w:val="auto"/>
          <w:kern w:val="0"/>
          <w:sz w:val="32"/>
          <w:szCs w:val="32"/>
          <w:lang w:val="en-US" w:eastAsia="zh-CN"/>
        </w:rPr>
        <w:t>未及时交存日常物业专项维修资金的业主大会或物业服务企业的监督职责。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1"/>
          <w:sz w:val="32"/>
          <w:szCs w:val="32"/>
          <w:highlight w:val="none"/>
          <w:lang w:eastAsia="zh-CN"/>
        </w:rPr>
      </w:pPr>
      <w:r>
        <w:rPr>
          <w:rFonts w:hint="eastAsia" w:ascii="仿宋_GB2312" w:hAnsi="仿宋_GB2312" w:eastAsia="仿宋_GB2312" w:cs="仿宋_GB2312"/>
          <w:color w:val="auto"/>
          <w:kern w:val="0"/>
          <w:sz w:val="32"/>
          <w:szCs w:val="32"/>
          <w:lang w:val="en-US" w:eastAsia="zh-CN"/>
        </w:rPr>
        <w:t>第九条明确了由区住房建设局与业主大会对</w:t>
      </w:r>
      <w:r>
        <w:rPr>
          <w:rFonts w:hint="eastAsia" w:ascii="仿宋_GB2312" w:hAnsi="仿宋_GB2312" w:eastAsia="仿宋_GB2312" w:cs="仿宋_GB2312"/>
          <w:kern w:val="1"/>
          <w:sz w:val="32"/>
          <w:szCs w:val="32"/>
          <w:highlight w:val="none"/>
        </w:rPr>
        <w:t>建设单位未按照规定缴纳公用设施专用基金或者首期归集的专项维修资金</w:t>
      </w:r>
      <w:r>
        <w:rPr>
          <w:rFonts w:hint="eastAsia" w:ascii="仿宋_GB2312" w:hAnsi="仿宋_GB2312" w:eastAsia="仿宋_GB2312" w:cs="仿宋_GB2312"/>
          <w:kern w:val="1"/>
          <w:sz w:val="32"/>
          <w:szCs w:val="32"/>
          <w:highlight w:val="none"/>
          <w:lang w:val="en-US" w:eastAsia="zh-CN"/>
        </w:rPr>
        <w:t>可以</w:t>
      </w:r>
      <w:r>
        <w:rPr>
          <w:rFonts w:hint="eastAsia" w:ascii="仿宋_GB2312" w:hAnsi="仿宋_GB2312" w:eastAsia="仿宋_GB2312" w:cs="仿宋_GB2312"/>
          <w:kern w:val="1"/>
          <w:sz w:val="32"/>
          <w:szCs w:val="32"/>
          <w:highlight w:val="none"/>
          <w:lang w:eastAsia="zh-CN"/>
        </w:rPr>
        <w:t>予以追缴。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1"/>
          <w:sz w:val="32"/>
          <w:szCs w:val="32"/>
          <w:highlight w:val="none"/>
          <w:lang w:val="en-US" w:eastAsia="zh-CN"/>
        </w:rPr>
      </w:pPr>
      <w:r>
        <w:rPr>
          <w:rFonts w:hint="eastAsia" w:ascii="仿宋_GB2312" w:hAnsi="仿宋_GB2312" w:eastAsia="仿宋_GB2312" w:cs="仿宋_GB2312"/>
          <w:kern w:val="1"/>
          <w:sz w:val="32"/>
          <w:szCs w:val="32"/>
          <w:highlight w:val="none"/>
          <w:lang w:eastAsia="zh-CN"/>
        </w:rPr>
        <w:t>第十条明确了</w:t>
      </w:r>
      <w:r>
        <w:rPr>
          <w:rFonts w:hint="eastAsia" w:ascii="仿宋_GB2312" w:hAnsi="仿宋_GB2312" w:eastAsia="仿宋_GB2312" w:cs="仿宋_GB2312"/>
          <w:kern w:val="1"/>
          <w:sz w:val="32"/>
          <w:szCs w:val="32"/>
          <w:highlight w:val="none"/>
          <w:lang w:val="en-US" w:eastAsia="zh-CN"/>
        </w:rPr>
        <w:t>物业专项维修资金需要续筹的情况以及做出续筹决定的要求。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textAlignment w:val="auto"/>
        <w:rPr>
          <w:rFonts w:hint="eastAsia" w:ascii="仿宋_GB2312" w:hAnsi="仿宋_GB2312" w:eastAsia="仿宋_GB2312" w:cs="仿宋_GB2312"/>
          <w:b/>
          <w:bCs/>
          <w:kern w:val="1"/>
          <w:sz w:val="32"/>
          <w:szCs w:val="32"/>
          <w:highlight w:val="none"/>
          <w:lang w:val="en-US" w:eastAsia="zh-CN"/>
        </w:rPr>
      </w:pPr>
      <w:r>
        <w:rPr>
          <w:rFonts w:hint="eastAsia" w:ascii="仿宋_GB2312" w:hAnsi="仿宋_GB2312" w:eastAsia="仿宋_GB2312" w:cs="仿宋_GB2312"/>
          <w:b/>
          <w:bCs/>
          <w:kern w:val="1"/>
          <w:sz w:val="32"/>
          <w:szCs w:val="32"/>
          <w:lang w:val="en-US" w:eastAsia="zh-CN" w:bidi="ar-SA"/>
        </w:rPr>
        <w:t>（四）</w:t>
      </w:r>
      <w:r>
        <w:rPr>
          <w:rFonts w:hint="eastAsia" w:ascii="仿宋_GB2312" w:hAnsi="仿宋_GB2312" w:eastAsia="仿宋_GB2312" w:cs="仿宋_GB2312"/>
          <w:b/>
          <w:bCs/>
          <w:kern w:val="1"/>
          <w:sz w:val="32"/>
          <w:szCs w:val="32"/>
          <w:highlight w:val="none"/>
          <w:lang w:val="en-US" w:eastAsia="zh-CN"/>
        </w:rPr>
        <w:t>使用管理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部分为《管理指引》的第十一条至第三十六条，分别明确了物业专项维修资金使用类别、实施主体、申请主体、维修方案编制、施工单位选取、工程造价审核、监理单位聘请、竣工验收、业主决议及公示要求、专项使用要求、日常使用要求以及应急使用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第十一条一是明确了专户统一管理的物业专项维修资金分为专项使用、日常使用和应急使用。二是明确了物业专项维修资金只能用于应急维修事项的情形。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第十二条明确了物业专项维修资金在不同的使用情形下的实施主体。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第十三条明确了物业专项维修资金的申请主体。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第十四条一是明确了维修方案编制主体。二是明确了维修方案应包含的内容。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第十五条明确了业主大会可以授权业主委员会或物业服务企业选定施工单位的方式。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第十六条明确了需要工程造价审核的情形。二是明确了工程造价审核的申请及审核要点。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第十七条明确了鼓励业主聘请第三方监理单位对工程施工过程进行监理。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第十八条明确了</w:t>
      </w:r>
      <w:r>
        <w:rPr>
          <w:rFonts w:hint="eastAsia" w:ascii="仿宋_GB2312" w:hAnsi="仿宋_GB2312" w:eastAsia="仿宋_GB2312" w:cs="仿宋_GB2312"/>
          <w:sz w:val="32"/>
          <w:szCs w:val="32"/>
          <w:lang w:eastAsia="zh-CN"/>
        </w:rPr>
        <w:t>业主委员会、</w:t>
      </w:r>
      <w:r>
        <w:rPr>
          <w:rFonts w:hint="eastAsia" w:ascii="仿宋_GB2312" w:hAnsi="仿宋_GB2312" w:eastAsia="仿宋_GB2312" w:cs="仿宋_GB2312"/>
          <w:sz w:val="32"/>
          <w:szCs w:val="32"/>
        </w:rPr>
        <w:t>物业服务企业</w:t>
      </w:r>
      <w:r>
        <w:rPr>
          <w:rFonts w:hint="eastAsia" w:ascii="仿宋_GB2312" w:hAnsi="仿宋_GB2312" w:eastAsia="仿宋_GB2312" w:cs="仿宋_GB2312"/>
          <w:sz w:val="32"/>
          <w:szCs w:val="32"/>
          <w:lang w:val="en-US" w:eastAsia="zh-CN"/>
        </w:rPr>
        <w:t>的竣工验收义务。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第十九条明确了物业专项维修金的业主决议及公示要求。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至第二十五条明确了物业专项维修资金专项使用要点，一是明确了物业专项维修资金的专项使用范围；二是明确了物业专项维修资金使用应提交业主大会表决的事项；三是明确了物业专项维修资金专项使用的申请流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至第二十九条明确了物业专项维修资金日常使用要点，一是明确了物业专项维修资金的日常使用范围；二是明确了业主大会决定设立备用金的要求；三是明确了备用金设立的程序；四是明确了备用金核销及再次申请的要求</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lang w:val="en-US" w:eastAsia="zh-CN"/>
        </w:rPr>
        <w:t>第三十条至第三十六条明确了物业专项维修资金应急使用要点，一是明确了专项维修资金应急使用范围；二是明确了发生应急情形，物业服务企业的处置及报告义务。三是明确了以应急维修费用区分应急情形认定的流程。</w:t>
      </w:r>
      <w:r>
        <w:rPr>
          <w:rFonts w:hint="eastAsia" w:ascii="仿宋_GB2312" w:hAnsi="仿宋_GB2312" w:eastAsia="仿宋_GB2312" w:cs="仿宋_GB2312"/>
          <w:b w:val="0"/>
          <w:bCs w:val="0"/>
          <w:sz w:val="32"/>
          <w:szCs w:val="32"/>
          <w:highlight w:val="none"/>
          <w:lang w:val="en-US" w:eastAsia="zh-CN"/>
        </w:rPr>
        <w:t>街道办事处审核过程中认为应急情形存在争议的，可召开联席会议对应急情形进行讨论。四是明确了物业专项维修资金应急使用的申请流程。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b/>
          <w:bCs/>
          <w:sz w:val="32"/>
          <w:szCs w:val="32"/>
          <w:highlight w:val="none"/>
          <w:lang w:val="en-US" w:eastAsia="zh-CN"/>
        </w:rPr>
        <w:t>附则</w:t>
      </w: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lang w:val="en-US" w:eastAsia="zh-CN"/>
        </w:rPr>
        <w:t>该部分为《管理指引》的第三十七条至第三十九条。其中第三十七条明确了《管理指引》</w:t>
      </w:r>
      <w:r>
        <w:rPr>
          <w:rFonts w:hint="eastAsia" w:ascii="仿宋_GB2312" w:hAnsi="仿宋_GB2312" w:eastAsia="仿宋_GB2312" w:cs="仿宋_GB2312"/>
          <w:kern w:val="2"/>
          <w:sz w:val="32"/>
          <w:szCs w:val="32"/>
        </w:rPr>
        <w:t>对物业专项维修资金使用相关事项未作规定的，按照有关法律、法规、规章及上级有关文件规定执行。</w:t>
      </w:r>
      <w:r>
        <w:rPr>
          <w:rFonts w:hint="eastAsia" w:ascii="仿宋_GB2312" w:hAnsi="仿宋_GB2312" w:eastAsia="仿宋_GB2312" w:cs="仿宋_GB2312"/>
          <w:kern w:val="2"/>
          <w:sz w:val="32"/>
          <w:szCs w:val="32"/>
          <w:lang w:val="en-US" w:eastAsia="zh-CN"/>
        </w:rPr>
        <w:t>第三十八条明确了</w:t>
      </w:r>
      <w:r>
        <w:rPr>
          <w:rFonts w:hint="eastAsia" w:ascii="仿宋_GB2312" w:hAnsi="仿宋_GB2312" w:eastAsia="仿宋_GB2312" w:cs="仿宋_GB2312"/>
          <w:sz w:val="32"/>
          <w:szCs w:val="32"/>
          <w:lang w:val="en-US" w:eastAsia="zh-CN"/>
        </w:rPr>
        <w:t>《管理指引》</w:t>
      </w:r>
      <w:r>
        <w:rPr>
          <w:rFonts w:hint="eastAsia" w:ascii="仿宋_GB2312" w:hAnsi="仿宋_GB2312" w:eastAsia="仿宋_GB2312" w:cs="仿宋_GB2312"/>
          <w:kern w:val="2"/>
          <w:sz w:val="32"/>
          <w:szCs w:val="32"/>
          <w:lang w:val="en-US" w:eastAsia="zh-CN"/>
        </w:rPr>
        <w:t>与上级相关政策文件不一致的，依照上级相关政策文件规定执行。以及</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管理指引</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lang w:val="en-US" w:eastAsia="zh-CN"/>
        </w:rPr>
        <w:t>解释权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第三十九条明确了</w:t>
      </w:r>
      <w:r>
        <w:rPr>
          <w:rFonts w:hint="eastAsia" w:ascii="仿宋_GB2312" w:hAnsi="仿宋_GB2312" w:eastAsia="仿宋_GB2312" w:cs="仿宋_GB2312"/>
          <w:sz w:val="32"/>
          <w:szCs w:val="32"/>
          <w:lang w:val="en-US" w:eastAsia="zh-CN"/>
        </w:rPr>
        <w:t>《管理指引》有效期。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200"/>
        <w:textAlignment w:val="auto"/>
        <w:rPr>
          <w:rFonts w:hint="default" w:ascii="仿宋_GB2312" w:hAnsi="仿宋_GB2312" w:eastAsia="仿宋_GB2312" w:cs="仿宋_GB2312"/>
          <w:b w:val="0"/>
          <w:bCs w:val="0"/>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777FF6A3"/>
    <w:rsid w:val="09742EB7"/>
    <w:rsid w:val="0D2131A7"/>
    <w:rsid w:val="187912D3"/>
    <w:rsid w:val="29F502CB"/>
    <w:rsid w:val="3BDFC585"/>
    <w:rsid w:val="3CBC41DC"/>
    <w:rsid w:val="777FF6A3"/>
    <w:rsid w:val="F99F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2146</Words>
  <Characters>2149</Characters>
  <Lines>0</Lines>
  <Paragraphs>0</Paragraphs>
  <TotalTime>67</TotalTime>
  <ScaleCrop>false</ScaleCrop>
  <LinksUpToDate>false</LinksUpToDate>
  <CharactersWithSpaces>2149</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2024-07-09T09:30:00Z</dcterms:created>
  <dc:creator>中熙zx</dc:creator>
  <cp:lastModifiedBy>刘鹏</cp:lastModifiedBy>
  <dcterms:modified xsi:type="dcterms:W3CDTF">2025-01-21T14:57:30Z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6A3C00DC7BB551E49DB18B66AB74CE84_41</vt:lpwstr>
  </property>
</Properties>
</file>