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220"/>
        <w:gridCol w:w="2935"/>
        <w:gridCol w:w="1925"/>
        <w:gridCol w:w="1646"/>
        <w:gridCol w:w="1674"/>
      </w:tblGrid>
      <w:tr>
        <w:tblPrEx>
          <w:tblCellMar>
            <w:top w:w="0" w:type="dxa"/>
            <w:left w:w="108" w:type="dxa"/>
            <w:bottom w:w="0" w:type="dxa"/>
            <w:right w:w="108" w:type="dxa"/>
          </w:tblCellMar>
        </w:tblPrEx>
        <w:trPr>
          <w:trHeight w:val="771" w:hRule="exact"/>
        </w:trPr>
        <w:tc>
          <w:tcPr>
            <w:tcW w:w="6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58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粤港澳大湾区国际人才驿站（河套）建设工程——家具、标识标牌采购　</w:t>
            </w:r>
          </w:p>
        </w:tc>
        <w:tc>
          <w:tcPr>
            <w:tcW w:w="87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89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35</w:t>
            </w:r>
            <w:r>
              <w:rPr>
                <w:rFonts w:hint="eastAsia" w:ascii="仿宋_GB2312" w:hAnsi="仿宋_GB2312" w:eastAsia="仿宋_GB2312" w:cs="仿宋_GB2312"/>
                <w:kern w:val="0"/>
                <w:sz w:val="24"/>
              </w:rPr>
              <w:t>万元</w:t>
            </w:r>
            <w:r>
              <w:rPr>
                <w:rFonts w:hint="eastAsia" w:ascii="仿宋_GB2312" w:hAnsi="仿宋_GB2312" w:eastAsia="仿宋_GB2312" w:cs="仿宋_GB2312"/>
                <w:kern w:val="0"/>
                <w:sz w:val="24"/>
                <w:lang w:eastAsia="zh-CN"/>
              </w:rPr>
              <w:t>以内</w:t>
            </w:r>
          </w:p>
        </w:tc>
      </w:tr>
      <w:tr>
        <w:tblPrEx>
          <w:tblCellMar>
            <w:top w:w="0" w:type="dxa"/>
            <w:left w:w="108" w:type="dxa"/>
            <w:bottom w:w="0" w:type="dxa"/>
            <w:right w:w="108" w:type="dxa"/>
          </w:tblCellMar>
        </w:tblPrEx>
        <w:trPr>
          <w:trHeight w:val="621" w:hRule="exact"/>
        </w:trPr>
        <w:tc>
          <w:tcPr>
            <w:tcW w:w="6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58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福保街道城建办</w:t>
            </w:r>
            <w:r>
              <w:rPr>
                <w:rFonts w:hint="eastAsia" w:ascii="仿宋_GB2312" w:hAnsi="仿宋_GB2312" w:eastAsia="仿宋_GB2312" w:cs="仿宋_GB2312"/>
                <w:kern w:val="0"/>
                <w:sz w:val="24"/>
              </w:rPr>
              <w:t>　</w:t>
            </w:r>
          </w:p>
        </w:tc>
        <w:tc>
          <w:tcPr>
            <w:tcW w:w="8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89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苏工</w:t>
            </w:r>
          </w:p>
        </w:tc>
      </w:tr>
      <w:tr>
        <w:tblPrEx>
          <w:tblCellMar>
            <w:top w:w="0" w:type="dxa"/>
            <w:left w:w="108" w:type="dxa"/>
            <w:bottom w:w="0" w:type="dxa"/>
            <w:right w:w="108" w:type="dxa"/>
          </w:tblCellMar>
        </w:tblPrEx>
        <w:trPr>
          <w:trHeight w:val="240"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56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023"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176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直接确定供应商（3万元以下）</w:t>
            </w:r>
          </w:p>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为搭建国际人才综合服务平台，建设多元优质的国际化高品质生活配套设施，打造国际化高品质的科研生活社区，福保街道正开展粤港澳大湾区国际人才驿站建设工程，对福田区市花路</w:t>
            </w:r>
            <w:r>
              <w:rPr>
                <w:rFonts w:hint="eastAsia" w:ascii="仿宋_GB2312" w:hAnsi="仿宋_GB2312" w:eastAsia="仿宋_GB2312" w:cs="仿宋_GB2312"/>
                <w:kern w:val="0"/>
                <w:sz w:val="24"/>
                <w:lang w:val="en-US" w:eastAsia="zh-CN"/>
              </w:rPr>
              <w:t>5号长富经贸大厦二层进行改造建设，建筑面积1853.44平方米。根据项目建设情况，现需要采购一批家具、标识标牌，根据现场实际情况进行改造。</w:t>
            </w:r>
          </w:p>
        </w:tc>
      </w:tr>
      <w:tr>
        <w:tblPrEx>
          <w:tblCellMar>
            <w:top w:w="0" w:type="dxa"/>
            <w:left w:w="108" w:type="dxa"/>
            <w:bottom w:w="0" w:type="dxa"/>
            <w:right w:w="108" w:type="dxa"/>
          </w:tblCellMar>
        </w:tblPrEx>
        <w:trPr>
          <w:trHeight w:val="2609" w:hRule="atLeast"/>
        </w:trPr>
        <w:tc>
          <w:tcPr>
            <w:tcW w:w="64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项目采购内容：</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1.家具家私：包括茶几、单人沙发、凳子、服务台、高柜、会议桌、活动柜、三人沙发、椅子、桌子等。</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标识标牌：沙钢金属字、电梯贴、导视、宣传贴牌、吊牌、门牌、立牌、立体字、亚克力发光灯箱展示墙、粤港澳大湾区人才驿站标识牌（挂）、粤港澳大湾区人才驿站标识牌（立）、标识牌、展示台、发光灯箱、标示贴、河套福保园区党群服务中心标识牌（挂）、宣传墙等。</w:t>
            </w:r>
          </w:p>
          <w:p>
            <w:pPr>
              <w:widowControl/>
              <w:spacing w:line="240" w:lineRule="auto"/>
              <w:ind w:firstLine="0" w:firstLineChars="0"/>
              <w:jc w:val="left"/>
              <w:rPr>
                <w:rFonts w:hint="default" w:cs="仿宋_GB2312"/>
                <w:kern w:val="0"/>
                <w:sz w:val="24"/>
                <w:lang w:val="en-US"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b/>
                <w:bCs/>
                <w:kern w:val="0"/>
                <w:sz w:val="24"/>
                <w:lang w:val="en-US" w:eastAsia="zh-CN"/>
              </w:rPr>
              <w:t>具体需求和数量详见附件清单。</w:t>
            </w:r>
          </w:p>
        </w:tc>
      </w:tr>
      <w:tr>
        <w:tblPrEx>
          <w:tblCellMar>
            <w:top w:w="0" w:type="dxa"/>
            <w:left w:w="108" w:type="dxa"/>
            <w:bottom w:w="0" w:type="dxa"/>
            <w:right w:w="108" w:type="dxa"/>
          </w:tblCellMar>
        </w:tblPrEx>
        <w:trPr>
          <w:trHeight w:val="1750" w:hRule="atLeast"/>
        </w:trPr>
        <w:tc>
          <w:tcPr>
            <w:tcW w:w="64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numPr>
                <w:ilvl w:val="0"/>
                <w:numId w:val="0"/>
              </w:numPr>
              <w:spacing w:line="240" w:lineRule="auto"/>
              <w:jc w:val="left"/>
              <w:rPr>
                <w:rFonts w:hint="default"/>
                <w:lang w:val="en-US" w:eastAsia="zh-CN"/>
              </w:rPr>
            </w:pPr>
            <w:r>
              <w:rPr>
                <w:rFonts w:hint="eastAsia" w:ascii="仿宋_GB2312" w:hAnsi="仿宋_GB2312" w:eastAsia="仿宋_GB2312" w:cs="仿宋_GB2312"/>
                <w:kern w:val="0"/>
                <w:sz w:val="24"/>
                <w:lang w:val="en-US" w:eastAsia="zh-CN"/>
              </w:rPr>
              <w:t>1.服务期限：自合同签订之日起至工程竣工验收为止（具体交付日期以甲方通知为准）。</w:t>
            </w:r>
          </w:p>
          <w:p>
            <w:pPr>
              <w:pStyle w:val="3"/>
              <w:ind w:left="0" w:leftChars="0" w:firstLine="0" w:firstLineChars="0"/>
              <w:rPr>
                <w:rFonts w:hint="default"/>
                <w:lang w:val="en-US" w:eastAsia="zh-CN"/>
              </w:rPr>
            </w:pPr>
            <w:r>
              <w:rPr>
                <w:rFonts w:hint="eastAsia" w:cs="仿宋_GB2312"/>
                <w:kern w:val="0"/>
                <w:sz w:val="24"/>
                <w:lang w:val="en-US" w:eastAsia="zh-CN"/>
              </w:rPr>
              <w:t>2.家具、标识标牌由中标供应商负责配送至指定地点，并完成安装，</w:t>
            </w:r>
            <w:r>
              <w:rPr>
                <w:rFonts w:hint="eastAsia" w:ascii="仿宋_GB2312" w:hAnsi="仿宋_GB2312" w:eastAsia="仿宋_GB2312" w:cs="仿宋_GB2312"/>
                <w:kern w:val="0"/>
                <w:sz w:val="24"/>
                <w:lang w:val="en-US" w:eastAsia="zh-CN"/>
              </w:rPr>
              <w:t>具体交付日期以甲方通知为准</w:t>
            </w:r>
            <w:r>
              <w:rPr>
                <w:rFonts w:hint="eastAsia" w:cs="仿宋_GB2312"/>
                <w:kern w:val="0"/>
                <w:sz w:val="24"/>
                <w:lang w:val="en-US" w:eastAsia="zh-CN"/>
              </w:rPr>
              <w:t>；安装辅助材料、部分原墙面广告拆除及修复及物料布置加装等由中标供应商自行负责。</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szCs w:val="32"/>
                <w:lang w:val="en-US" w:eastAsia="zh-CN" w:bidi="zh-CN"/>
              </w:rPr>
              <w:t>3.</w:t>
            </w:r>
            <w:r>
              <w:rPr>
                <w:rFonts w:hint="eastAsia" w:ascii="仿宋_GB2312" w:hAnsi="仿宋_GB2312" w:eastAsia="仿宋_GB2312" w:cs="仿宋_GB2312"/>
                <w:kern w:val="0"/>
                <w:sz w:val="24"/>
              </w:rPr>
              <w:t>付款方式：分期付款，每次支付款项中标供应商需提供符合规定的发票。项目验收合格后，支付至暂定合同价（现场实际交货部分的）90%</w:t>
            </w:r>
            <w:r>
              <w:rPr>
                <w:rFonts w:hint="eastAsia" w:ascii="仿宋_GB2312" w:hAnsi="仿宋_GB2312" w:eastAsia="仿宋_GB2312" w:cs="仿宋_GB2312"/>
                <w:kern w:val="0"/>
                <w:sz w:val="24"/>
                <w:lang w:val="en-US" w:eastAsia="zh-CN"/>
              </w:rPr>
              <w:t>；待完成结算后，支付至结算价100%；</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如本项目后期被政府相关部门抽查审核的， 最终结算金额以政府相关部门核查确定的结算价或按照政府相关部门核查意见调整后的结算价款为准， 超出部分应返还。</w:t>
            </w:r>
          </w:p>
          <w:p>
            <w:pPr>
              <w:pStyle w:val="3"/>
              <w:ind w:left="0" w:leftChars="0" w:firstLine="0" w:firstLineChars="0"/>
              <w:rPr>
                <w:rFonts w:hint="eastAsia" w:cs="仿宋_GB2312"/>
                <w:kern w:val="0"/>
                <w:sz w:val="24"/>
                <w:lang w:val="en-US" w:eastAsia="zh-CN"/>
              </w:rPr>
            </w:pPr>
            <w:r>
              <w:rPr>
                <w:rFonts w:hint="eastAsia" w:cs="仿宋_GB2312"/>
                <w:kern w:val="0"/>
                <w:sz w:val="24"/>
                <w:lang w:val="en-US" w:eastAsia="zh-CN"/>
              </w:rPr>
              <w:t>4.报价要求：</w:t>
            </w:r>
          </w:p>
          <w:p>
            <w:pPr>
              <w:pStyle w:val="3"/>
              <w:ind w:left="0" w:leftChars="0" w:firstLine="0" w:firstLineChars="0"/>
              <w:rPr>
                <w:rFonts w:hint="eastAsia" w:cs="仿宋_GB2312"/>
                <w:kern w:val="0"/>
                <w:sz w:val="24"/>
                <w:lang w:val="en-US" w:eastAsia="zh-CN"/>
              </w:rPr>
            </w:pPr>
            <w:r>
              <w:rPr>
                <w:rFonts w:hint="eastAsia" w:cs="仿宋_GB2312"/>
                <w:kern w:val="0"/>
                <w:sz w:val="24"/>
                <w:lang w:val="en-US" w:eastAsia="zh-CN"/>
              </w:rPr>
              <w:t>(1)本项目的家具和标识标牌清单需按单价方式进行报价，</w:t>
            </w:r>
            <w:r>
              <w:rPr>
                <w:rFonts w:hint="eastAsia" w:cs="仿宋_GB2312"/>
                <w:b/>
                <w:bCs/>
                <w:kern w:val="0"/>
                <w:sz w:val="24"/>
                <w:lang w:val="en-US" w:eastAsia="zh-CN"/>
              </w:rPr>
              <w:t>家具部分总报价不超过25万元，标识标牌部分报价不超过10万元，总计报价不超过35万元</w:t>
            </w:r>
            <w:r>
              <w:rPr>
                <w:rFonts w:hint="eastAsia" w:cs="仿宋_GB2312"/>
                <w:kern w:val="0"/>
                <w:sz w:val="24"/>
                <w:lang w:val="en-US" w:eastAsia="zh-CN"/>
              </w:rPr>
              <w:t>；</w:t>
            </w:r>
          </w:p>
          <w:p>
            <w:pPr>
              <w:pStyle w:val="3"/>
              <w:ind w:left="0" w:leftChars="0" w:firstLine="0" w:firstLineChars="0"/>
              <w:rPr>
                <w:rFonts w:hint="eastAsia" w:cs="仿宋_GB2312"/>
                <w:kern w:val="0"/>
                <w:sz w:val="24"/>
                <w:lang w:val="en-US" w:eastAsia="zh-CN"/>
              </w:rPr>
            </w:pPr>
            <w:r>
              <w:rPr>
                <w:rFonts w:hint="eastAsia" w:cs="仿宋_GB2312"/>
                <w:kern w:val="0"/>
                <w:sz w:val="24"/>
                <w:lang w:val="en-US" w:eastAsia="zh-CN"/>
              </w:rPr>
              <w:t>(2)报价需按要求列明材质、基本参数和价格等。</w:t>
            </w:r>
          </w:p>
          <w:p>
            <w:pPr>
              <w:rPr>
                <w:rFonts w:hint="default"/>
                <w:lang w:val="en-US" w:eastAsia="zh-CN"/>
              </w:rPr>
            </w:pPr>
            <w:r>
              <w:rPr>
                <w:rFonts w:hint="eastAsia" w:ascii="仿宋_GB2312" w:hAnsi="仿宋_GB2312" w:eastAsia="仿宋_GB2312" w:cs="仿宋_GB2312"/>
                <w:b/>
                <w:bCs/>
                <w:kern w:val="0"/>
                <w:sz w:val="24"/>
                <w:lang w:val="en-US" w:eastAsia="zh-CN"/>
              </w:rPr>
              <w:t>5.中标金额为合同暂定价，最终金额以结算审核报告的费用为准</w:t>
            </w:r>
            <w:r>
              <w:rPr>
                <w:rFonts w:hint="eastAsia" w:ascii="仿宋_GB2312" w:hAnsi="仿宋_GB2312" w:eastAsia="仿宋_GB2312" w:cs="仿宋_GB2312"/>
                <w:kern w:val="0"/>
                <w:sz w:val="24"/>
                <w:lang w:val="en-US" w:eastAsia="zh-CN"/>
              </w:rPr>
              <w:t>。</w:t>
            </w:r>
          </w:p>
        </w:tc>
      </w:tr>
      <w:tr>
        <w:tblPrEx>
          <w:tblCellMar>
            <w:top w:w="0" w:type="dxa"/>
            <w:left w:w="108" w:type="dxa"/>
            <w:bottom w:w="0" w:type="dxa"/>
            <w:right w:w="108" w:type="dxa"/>
          </w:tblCellMar>
        </w:tblPrEx>
        <w:trPr>
          <w:trHeight w:val="1430" w:hRule="atLeast"/>
        </w:trPr>
        <w:tc>
          <w:tcPr>
            <w:tcW w:w="64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4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1、公司简介、概况等材料；营业执照、经营范围等相关资质复印件；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2、投标报价单（包含</w:t>
            </w:r>
            <w:r>
              <w:rPr>
                <w:rFonts w:hint="eastAsia" w:ascii="仿宋_GB2312" w:hAnsi="仿宋_GB2312" w:eastAsia="仿宋_GB2312" w:cs="仿宋_GB2312"/>
                <w:kern w:val="0"/>
                <w:sz w:val="24"/>
                <w:lang w:eastAsia="zh-CN"/>
              </w:rPr>
              <w:t>材质、基本参数、价格等</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3、对此项目提供详细的服务方案</w:t>
            </w:r>
            <w:r>
              <w:rPr>
                <w:rFonts w:hint="eastAsia" w:ascii="仿宋_GB2312" w:hAnsi="仿宋_GB2312" w:eastAsia="仿宋_GB2312" w:cs="仿宋_GB2312"/>
                <w:kern w:val="0"/>
                <w:sz w:val="24"/>
                <w:lang w:eastAsia="zh-CN"/>
              </w:rPr>
              <w:t>（售后服务或技术服务等相关方案）</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同类项目</w:t>
            </w:r>
            <w:r>
              <w:rPr>
                <w:rFonts w:hint="eastAsia" w:ascii="仿宋_GB2312" w:hAnsi="仿宋_GB2312" w:eastAsia="仿宋_GB2312" w:cs="仿宋_GB2312"/>
                <w:kern w:val="0"/>
                <w:sz w:val="24"/>
              </w:rPr>
              <w:t>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、其他响应采购需求的材料。</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00172A27"/>
    <w:rsid w:val="091C13C7"/>
    <w:rsid w:val="0A4669B5"/>
    <w:rsid w:val="11312983"/>
    <w:rsid w:val="14C24AD9"/>
    <w:rsid w:val="172C00A3"/>
    <w:rsid w:val="18B761FE"/>
    <w:rsid w:val="194B399D"/>
    <w:rsid w:val="1AF3636A"/>
    <w:rsid w:val="1CD203FA"/>
    <w:rsid w:val="1D1041D7"/>
    <w:rsid w:val="251026CF"/>
    <w:rsid w:val="25BB89B5"/>
    <w:rsid w:val="27FF4AC9"/>
    <w:rsid w:val="2E544988"/>
    <w:rsid w:val="2FBB6ACC"/>
    <w:rsid w:val="304A7E50"/>
    <w:rsid w:val="334D7C7F"/>
    <w:rsid w:val="340E45C5"/>
    <w:rsid w:val="37BEEFDB"/>
    <w:rsid w:val="3EB74A0A"/>
    <w:rsid w:val="3F1434CE"/>
    <w:rsid w:val="416451E2"/>
    <w:rsid w:val="447E6A90"/>
    <w:rsid w:val="46B67F33"/>
    <w:rsid w:val="4E144BA8"/>
    <w:rsid w:val="51BA04A8"/>
    <w:rsid w:val="57AD6E4E"/>
    <w:rsid w:val="587C663C"/>
    <w:rsid w:val="59FD49EF"/>
    <w:rsid w:val="5A771A36"/>
    <w:rsid w:val="5C8F69B7"/>
    <w:rsid w:val="5EBA216A"/>
    <w:rsid w:val="66AD6A92"/>
    <w:rsid w:val="66C374B6"/>
    <w:rsid w:val="686C909E"/>
    <w:rsid w:val="6A1555D3"/>
    <w:rsid w:val="6B9F26D5"/>
    <w:rsid w:val="6FAA4915"/>
    <w:rsid w:val="6FF14992"/>
    <w:rsid w:val="6FFCB35A"/>
    <w:rsid w:val="73FDE9AE"/>
    <w:rsid w:val="76FBB1B8"/>
    <w:rsid w:val="7994E548"/>
    <w:rsid w:val="79FBC75C"/>
    <w:rsid w:val="7C9A35BC"/>
    <w:rsid w:val="7E97605D"/>
    <w:rsid w:val="7EEEC9FF"/>
    <w:rsid w:val="7EFE51CE"/>
    <w:rsid w:val="7F34677C"/>
    <w:rsid w:val="7FFF6BA0"/>
    <w:rsid w:val="7FFFA8D5"/>
    <w:rsid w:val="ACEF026E"/>
    <w:rsid w:val="B7FBE8F1"/>
    <w:rsid w:val="B8FAEBAC"/>
    <w:rsid w:val="BAEF7002"/>
    <w:rsid w:val="CFB6416C"/>
    <w:rsid w:val="D1FFEFC3"/>
    <w:rsid w:val="D3B8C37D"/>
    <w:rsid w:val="D537D8C6"/>
    <w:rsid w:val="D62B1347"/>
    <w:rsid w:val="DBFFA8C0"/>
    <w:rsid w:val="DC57CE93"/>
    <w:rsid w:val="DFFF6912"/>
    <w:rsid w:val="FAFD95E0"/>
    <w:rsid w:val="FBDDAEA5"/>
    <w:rsid w:val="FDDEAE8F"/>
    <w:rsid w:val="FEBD3C66"/>
    <w:rsid w:val="FF9F3F21"/>
    <w:rsid w:val="FFD91144"/>
    <w:rsid w:val="FFFEBF7D"/>
    <w:rsid w:val="FFFFB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2023-11-11T09:41:00Z</dcterms:created>
  <dc:creator>lulu</dc:creator>
  <cp:lastModifiedBy>苏奕新</cp:lastModifiedBy>
  <cp:lastPrinted>2025-01-16T14:49:15Z</cp:lastPrinted>
  <dcterms:modified xsi:type="dcterms:W3CDTF">2025-01-16T14:49:57Z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E381D7838E480F4BF45B3D67E323520C</vt:lpwstr>
  </property>
</Properties>
</file>