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5DAD1">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52"/>
          <w:lang w:eastAsia="zh-CN"/>
        </w:rPr>
      </w:pPr>
      <w:bookmarkStart w:id="0" w:name="_GoBack"/>
      <w:r>
        <w:rPr>
          <w:rFonts w:hint="eastAsia" w:ascii="方正小标宋_GBK" w:hAnsi="方正小标宋_GBK" w:eastAsia="方正小标宋_GBK" w:cs="方正小标宋_GBK"/>
          <w:b w:val="0"/>
          <w:bCs w:val="0"/>
          <w:sz w:val="44"/>
          <w:szCs w:val="44"/>
          <w:lang w:val="en-US" w:eastAsia="zh-CN"/>
        </w:rPr>
        <w:t>关于对</w:t>
      </w:r>
      <w:r>
        <w:rPr>
          <w:rFonts w:hint="eastAsia" w:ascii="方正小标宋简体" w:hAnsi="方正小标宋简体" w:eastAsia="方正小标宋简体" w:cs="方正小标宋简体"/>
          <w:sz w:val="44"/>
          <w:szCs w:val="52"/>
          <w:lang w:eastAsia="zh-CN"/>
        </w:rPr>
        <w:t>福田区</w:t>
      </w:r>
      <w:r>
        <w:rPr>
          <w:rFonts w:hint="eastAsia" w:ascii="方正小标宋_GBK" w:hAnsi="方正小标宋_GBK" w:eastAsia="方正小标宋_GBK" w:cs="方正小标宋_GBK"/>
          <w:b w:val="0"/>
          <w:bCs w:val="0"/>
          <w:sz w:val="44"/>
          <w:szCs w:val="44"/>
          <w:lang w:val="en-US" w:eastAsia="zh-CN"/>
        </w:rPr>
        <w:t>政协六届四次会议第2024165号</w:t>
      </w:r>
      <w:r>
        <w:rPr>
          <w:rFonts w:hint="eastAsia" w:ascii="方正小标宋简体" w:hAnsi="方正小标宋简体" w:eastAsia="方正小标宋简体" w:cs="方正小标宋简体"/>
          <w:sz w:val="44"/>
          <w:szCs w:val="52"/>
          <w:lang w:eastAsia="zh-CN"/>
        </w:rPr>
        <w:t>提案《关于在河套深港科技创新合作区建设</w:t>
      </w:r>
    </w:p>
    <w:p w14:paraId="27747DC0">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52"/>
          <w:lang w:eastAsia="zh-CN"/>
        </w:rPr>
      </w:pPr>
      <w:r>
        <w:rPr>
          <w:rFonts w:hint="eastAsia" w:ascii="方正小标宋简体" w:hAnsi="方正小标宋简体" w:eastAsia="方正小标宋简体" w:cs="方正小标宋简体"/>
          <w:sz w:val="44"/>
          <w:szCs w:val="52"/>
          <w:lang w:eastAsia="zh-CN"/>
        </w:rPr>
        <w:t>文化街区，创建深港融合特色文旅空间</w:t>
      </w:r>
    </w:p>
    <w:p w14:paraId="6C131E53">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黑体" w:hAnsi="黑体" w:eastAsia="黑体" w:cs="黑体"/>
          <w:b w:val="0"/>
          <w:bCs w:val="0"/>
          <w:sz w:val="32"/>
          <w:szCs w:val="32"/>
          <w:lang w:val="en-US" w:eastAsia="zh-CN"/>
        </w:rPr>
      </w:pPr>
      <w:r>
        <w:rPr>
          <w:rFonts w:hint="eastAsia" w:ascii="方正小标宋简体" w:hAnsi="方正小标宋简体" w:eastAsia="方正小标宋简体" w:cs="方正小标宋简体"/>
          <w:sz w:val="44"/>
          <w:szCs w:val="52"/>
          <w:lang w:eastAsia="zh-CN"/>
        </w:rPr>
        <w:t>的提案》的回复</w:t>
      </w:r>
    </w:p>
    <w:p w14:paraId="29DB0325">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b/>
          <w:bCs/>
          <w:sz w:val="36"/>
          <w:szCs w:val="36"/>
          <w:lang w:val="en-US" w:eastAsia="zh-CN"/>
        </w:rPr>
      </w:pPr>
    </w:p>
    <w:p w14:paraId="55050F60">
      <w:pPr>
        <w:keepNext w:val="0"/>
        <w:keepLines w:val="0"/>
        <w:pageBreakBefore w:val="0"/>
        <w:widowControl w:val="0"/>
        <w:kinsoku/>
        <w:wordWrap/>
        <w:overflowPunct/>
        <w:topLinePunct w:val="0"/>
        <w:autoSpaceDE/>
        <w:autoSpaceDN/>
        <w:bidi w:val="0"/>
        <w:adjustRightInd/>
        <w:snapToGrid/>
        <w:spacing w:line="579" w:lineRule="exact"/>
        <w:ind w:left="0" w:leftChars="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尊敬的</w:t>
      </w:r>
      <w:r>
        <w:rPr>
          <w:rFonts w:hint="eastAsia" w:ascii="仿宋_GB2312" w:hAnsi="仿宋_GB2312" w:eastAsia="仿宋_GB2312" w:cs="仿宋_GB2312"/>
          <w:b w:val="0"/>
          <w:bCs w:val="0"/>
          <w:color w:val="auto"/>
          <w:sz w:val="32"/>
          <w:szCs w:val="32"/>
          <w:lang w:val="en-US" w:eastAsia="zh-CN"/>
        </w:rPr>
        <w:t>陈宏</w:t>
      </w:r>
      <w:r>
        <w:rPr>
          <w:rFonts w:hint="eastAsia" w:ascii="仿宋_GB2312" w:hAnsi="仿宋_GB2312" w:eastAsia="仿宋_GB2312" w:cs="仿宋_GB2312"/>
          <w:b w:val="0"/>
          <w:bCs w:val="0"/>
          <w:color w:val="auto"/>
          <w:kern w:val="2"/>
          <w:sz w:val="32"/>
          <w:szCs w:val="32"/>
          <w:highlight w:val="none"/>
          <w:lang w:val="en-US" w:eastAsia="zh-CN" w:bidi="ar-SA"/>
        </w:rPr>
        <w:t>委员：</w:t>
      </w:r>
    </w:p>
    <w:p w14:paraId="1D72D6C7">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您好！您在福田区政协六届四次会议第2024165号提案《</w:t>
      </w:r>
      <w:r>
        <w:rPr>
          <w:rFonts w:hint="eastAsia" w:ascii="仿宋_GB2312" w:hAnsi="仿宋_GB2312" w:eastAsia="仿宋_GB2312" w:cs="仿宋_GB2312"/>
          <w:b w:val="0"/>
          <w:bCs w:val="0"/>
          <w:color w:val="auto"/>
          <w:sz w:val="32"/>
          <w:szCs w:val="32"/>
          <w:lang w:val="en-US" w:eastAsia="zh-CN"/>
        </w:rPr>
        <w:t>关于在河套深港科技创新合作区建设文化街区，创建深港融合特色文旅空间的提案</w:t>
      </w:r>
      <w:r>
        <w:rPr>
          <w:rFonts w:hint="eastAsia" w:ascii="仿宋_GB2312" w:hAnsi="仿宋_GB2312" w:eastAsia="仿宋_GB2312" w:cs="仿宋_GB2312"/>
          <w:b w:val="0"/>
          <w:bCs w:val="0"/>
          <w:color w:val="auto"/>
          <w:kern w:val="2"/>
          <w:sz w:val="32"/>
          <w:szCs w:val="32"/>
          <w:highlight w:val="none"/>
          <w:lang w:val="en-US" w:eastAsia="zh-CN" w:bidi="ar-SA"/>
        </w:rPr>
        <w:t>》已收悉。首先感谢您对福田区</w:t>
      </w:r>
      <w:r>
        <w:rPr>
          <w:rFonts w:hint="eastAsia" w:ascii="仿宋_GB2312" w:hAnsi="仿宋_GB2312" w:eastAsia="仿宋_GB2312" w:cs="仿宋_GB2312"/>
          <w:b w:val="0"/>
          <w:bCs w:val="0"/>
          <w:color w:val="auto"/>
          <w:sz w:val="32"/>
          <w:szCs w:val="32"/>
          <w:lang w:val="en-US" w:eastAsia="zh-CN"/>
        </w:rPr>
        <w:t>在河套深港科技创新合作区建设文化街区，创建深港融合特色文旅空间工作</w:t>
      </w:r>
      <w:r>
        <w:rPr>
          <w:rFonts w:hint="eastAsia" w:ascii="仿宋_GB2312" w:hAnsi="仿宋_GB2312" w:eastAsia="仿宋_GB2312" w:cs="仿宋_GB2312"/>
          <w:b w:val="0"/>
          <w:bCs w:val="0"/>
          <w:color w:val="auto"/>
          <w:kern w:val="2"/>
          <w:sz w:val="32"/>
          <w:szCs w:val="32"/>
          <w:highlight w:val="none"/>
          <w:lang w:val="en-US" w:eastAsia="zh-CN" w:bidi="ar-SA"/>
        </w:rPr>
        <w:t>的关心和重视，所提建议具有重要的参考价值和指导意义，现将办理情况答复如下：</w:t>
      </w:r>
    </w:p>
    <w:p w14:paraId="2B392B35">
      <w:pPr>
        <w:keepNext w:val="0"/>
        <w:keepLines w:val="0"/>
        <w:pageBreakBefore w:val="0"/>
        <w:widowControl w:val="0"/>
        <w:kinsoku/>
        <w:wordWrap/>
        <w:overflowPunct/>
        <w:topLinePunct w:val="0"/>
        <w:autoSpaceDE/>
        <w:autoSpaceDN/>
        <w:bidi w:val="0"/>
        <w:adjustRightInd/>
        <w:snapToGrid/>
        <w:spacing w:line="579" w:lineRule="exact"/>
        <w:ind w:left="638" w:leftChars="304" w:firstLine="0" w:firstLineChars="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黑体" w:hAnsi="黑体" w:eastAsia="黑体" w:cs="黑体"/>
          <w:color w:val="auto"/>
          <w:kern w:val="2"/>
          <w:sz w:val="32"/>
          <w:szCs w:val="32"/>
          <w:lang w:val="en-US" w:eastAsia="zh-CN" w:bidi="ar"/>
        </w:rPr>
        <w:t>一、工作开展情况</w:t>
      </w:r>
      <w:r>
        <w:rPr>
          <w:rFonts w:hint="eastAsia" w:ascii="仿宋_GB2312" w:hAnsi="仿宋_GB2312" w:eastAsia="仿宋_GB2312" w:cs="仿宋_GB2312"/>
          <w:b w:val="0"/>
          <w:bCs w:val="0"/>
          <w:color w:val="auto"/>
          <w:sz w:val="32"/>
          <w:szCs w:val="32"/>
          <w:lang w:val="en-US" w:eastAsia="zh-CN"/>
        </w:rPr>
        <w:t>
</w:t>
      </w:r>
      <w:r>
        <w:rPr>
          <w:rFonts w:hint="eastAsia" w:ascii="仿宋_GB2312" w:hAnsi="仿宋_GB2312" w:eastAsia="仿宋_GB2312" w:cs="仿宋_GB2312"/>
          <w:b w:val="0"/>
          <w:bCs w:val="0"/>
          <w:color w:val="auto"/>
          <w:sz w:val="32"/>
          <w:szCs w:val="32"/>
          <w:lang w:val="en-US" w:eastAsia="zh-CN"/>
        </w:rPr>
        <w:cr/>
      </w:r>
      <w:r>
        <w:rPr>
          <w:rFonts w:hint="eastAsia" w:ascii="楷体" w:hAnsi="楷体" w:eastAsia="楷体" w:cs="楷体"/>
          <w:b w:val="0"/>
          <w:bCs w:val="0"/>
          <w:color w:val="auto"/>
          <w:sz w:val="32"/>
          <w:szCs w:val="32"/>
          <w:highlight w:val="none"/>
          <w:lang w:val="en-US" w:eastAsia="zh-CN"/>
        </w:rPr>
        <w:t>（一）突出错位，公共文化阵地拓展实现星罗棋布</w:t>
      </w:r>
    </w:p>
    <w:p w14:paraId="606F0B40">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创新构建三级复合文化场景，实现文化空间“星罗棋布”。</w:t>
      </w:r>
      <w:r>
        <w:rPr>
          <w:rFonts w:hint="eastAsia" w:ascii="仿宋_GB2312" w:hAnsi="仿宋_GB2312" w:eastAsia="仿宋_GB2312" w:cs="仿宋_GB2312"/>
          <w:b/>
          <w:bCs/>
          <w:color w:val="auto"/>
          <w:sz w:val="32"/>
          <w:szCs w:val="32"/>
          <w:highlight w:val="none"/>
          <w:lang w:val="en-US" w:eastAsia="zh-CN"/>
        </w:rPr>
        <w:t>构建市区级文化地标方面，</w:t>
      </w:r>
      <w:r>
        <w:rPr>
          <w:rFonts w:hint="eastAsia" w:ascii="仿宋_GB2312" w:hAnsi="仿宋_GB2312" w:eastAsia="仿宋_GB2312" w:cs="仿宋_GB2312"/>
          <w:color w:val="auto"/>
          <w:sz w:val="32"/>
          <w:szCs w:val="32"/>
          <w:highlight w:val="none"/>
          <w:lang w:eastAsia="zh-CN"/>
        </w:rPr>
        <w:t>国际演艺中心、国际体育文化交流中心等重大文体设施已全面开工建设，积极探索机制创新，以特许经营</w:t>
      </w:r>
      <w:r>
        <w:rPr>
          <w:rFonts w:hint="eastAsia" w:ascii="仿宋_GB2312" w:hAnsi="仿宋_GB2312" w:eastAsia="仿宋_GB2312" w:cs="仿宋_GB2312"/>
          <w:color w:val="auto"/>
          <w:sz w:val="32"/>
          <w:szCs w:val="32"/>
          <w:highlight w:val="none"/>
          <w:lang w:val="en-US" w:eastAsia="zh-CN"/>
        </w:rPr>
        <w:t>BOT模式推动安托山博物馆群建设</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构建街区级文化客厅方面，</w:t>
      </w:r>
      <w:r>
        <w:rPr>
          <w:rFonts w:hint="eastAsia" w:ascii="仿宋_GB2312" w:hAnsi="仿宋_GB2312" w:eastAsia="仿宋_GB2312" w:cs="仿宋_GB2312"/>
          <w:b w:val="0"/>
          <w:bCs w:val="0"/>
          <w:color w:val="auto"/>
          <w:sz w:val="32"/>
          <w:szCs w:val="32"/>
          <w:highlight w:val="none"/>
          <w:lang w:val="en-US" w:eastAsia="zh-CN"/>
        </w:rPr>
        <w:t>依托文化馆和图书馆总分馆体系，围绕“一街道一特色”的文化定位，打造市民家门口的街区文化会客厅。</w:t>
      </w:r>
      <w:r>
        <w:rPr>
          <w:rFonts w:hint="eastAsia" w:ascii="仿宋_GB2312" w:hAnsi="仿宋_GB2312" w:eastAsia="仿宋_GB2312" w:cs="仿宋_GB2312"/>
          <w:b/>
          <w:bCs/>
          <w:color w:val="auto"/>
          <w:sz w:val="32"/>
          <w:szCs w:val="32"/>
          <w:highlight w:val="none"/>
          <w:lang w:val="en-US" w:eastAsia="zh-CN"/>
        </w:rPr>
        <w:t>嵌入式新型公共文化空间方面</w:t>
      </w:r>
      <w:r>
        <w:rPr>
          <w:rFonts w:hint="eastAsia" w:ascii="仿宋_GB2312" w:hAnsi="仿宋_GB2312" w:eastAsia="仿宋_GB2312" w:cs="仿宋_GB2312"/>
          <w:b w:val="0"/>
          <w:bCs w:val="0"/>
          <w:color w:val="auto"/>
          <w:sz w:val="32"/>
          <w:szCs w:val="32"/>
          <w:highlight w:val="none"/>
          <w:lang w:val="en-US" w:eastAsia="zh-CN"/>
        </w:rPr>
        <w:t>，出台《福田区新型文化空间共建协议》《福田区新型公共文化空间认定管理办法》，拓展121家“嵌入式”新型公共文化空间。新型公共文化空间与传统公共文化设施功能形成错位发展，实现从打通公共文化服务的“最后一公里”向“最美一公里”转变。</w:t>
      </w:r>
    </w:p>
    <w:p w14:paraId="054F979F">
      <w:pPr>
        <w:keepNext w:val="0"/>
        <w:keepLines w:val="0"/>
        <w:pageBreakBefore w:val="0"/>
        <w:widowControl/>
        <w:kinsoku/>
        <w:wordWrap/>
        <w:overflowPunct/>
        <w:topLinePunct w:val="0"/>
        <w:autoSpaceDE/>
        <w:autoSpaceDN/>
        <w:bidi w:val="0"/>
        <w:adjustRightInd/>
        <w:snapToGrid/>
        <w:spacing w:line="579" w:lineRule="exact"/>
        <w:ind w:left="0" w:leftChars="0" w:firstLine="640" w:firstLineChars="200"/>
        <w:textAlignment w:val="auto"/>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（二）明确定位，构建一套产业空间供给体系</w:t>
      </w:r>
    </w:p>
    <w:p w14:paraId="53EBED92">
      <w:pPr>
        <w:keepNext w:val="0"/>
        <w:keepLines w:val="0"/>
        <w:pageBreakBefore w:val="0"/>
        <w:widowControl/>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为全面贯彻落实全市服务业大会指示，打造</w:t>
      </w:r>
      <w:r>
        <w:rPr>
          <w:rFonts w:hint="eastAsia" w:ascii="仿宋_GB2312" w:hAnsi="仿宋_GB2312" w:eastAsia="仿宋_GB2312" w:cs="仿宋_GB2312"/>
          <w:b/>
          <w:bCs w:val="0"/>
          <w:color w:val="auto"/>
          <w:sz w:val="32"/>
          <w:szCs w:val="32"/>
          <w:highlight w:val="none"/>
          <w:lang w:val="en-US" w:eastAsia="zh-CN"/>
        </w:rPr>
        <w:t>“1+1+9+N”</w:t>
      </w:r>
      <w:r>
        <w:rPr>
          <w:rFonts w:hint="eastAsia" w:ascii="仿宋_GB2312" w:hAnsi="仿宋_GB2312" w:eastAsia="仿宋_GB2312" w:cs="仿宋_GB2312"/>
          <w:b w:val="0"/>
          <w:bCs/>
          <w:color w:val="auto"/>
          <w:sz w:val="32"/>
          <w:szCs w:val="32"/>
          <w:highlight w:val="none"/>
          <w:lang w:val="en-US" w:eastAsia="zh-CN"/>
        </w:rPr>
        <w:t>（1个总部中心、1个专业楼宇、9个专业园区、N个物业联盟）低成本产业空间供给体系。认定新洲同创汇为</w:t>
      </w:r>
      <w:r>
        <w:rPr>
          <w:rFonts w:hint="eastAsia" w:ascii="仿宋_GB2312" w:hAnsi="仿宋_GB2312" w:eastAsia="仿宋_GB2312" w:cs="仿宋_GB2312"/>
          <w:b/>
          <w:bCs w:val="0"/>
          <w:color w:val="auto"/>
          <w:sz w:val="32"/>
          <w:szCs w:val="32"/>
          <w:highlight w:val="none"/>
          <w:lang w:val="en-US" w:eastAsia="zh-CN"/>
        </w:rPr>
        <w:t>专业楼宇</w:t>
      </w:r>
      <w:r>
        <w:rPr>
          <w:rFonts w:hint="eastAsia" w:ascii="仿宋_GB2312" w:hAnsi="仿宋_GB2312" w:eastAsia="仿宋_GB2312" w:cs="仿宋_GB2312"/>
          <w:b w:val="0"/>
          <w:bCs/>
          <w:color w:val="auto"/>
          <w:sz w:val="32"/>
          <w:szCs w:val="32"/>
          <w:highlight w:val="none"/>
          <w:lang w:val="en-US" w:eastAsia="zh-CN"/>
        </w:rPr>
        <w:t>，新招引企业</w:t>
      </w:r>
      <w:r>
        <w:rPr>
          <w:rFonts w:hint="eastAsia" w:ascii="仿宋_GB2312" w:hAnsi="仿宋_GB2312" w:eastAsia="仿宋_GB2312" w:cs="仿宋_GB2312"/>
          <w:b/>
          <w:bCs w:val="0"/>
          <w:color w:val="auto"/>
          <w:sz w:val="32"/>
          <w:szCs w:val="32"/>
          <w:highlight w:val="none"/>
          <w:lang w:val="en-US" w:eastAsia="zh-CN"/>
        </w:rPr>
        <w:t>5家</w:t>
      </w:r>
      <w:r>
        <w:rPr>
          <w:rFonts w:hint="eastAsia" w:ascii="仿宋_GB2312" w:hAnsi="仿宋_GB2312" w:eastAsia="仿宋_GB2312" w:cs="仿宋_GB2312"/>
          <w:b w:val="0"/>
          <w:bCs/>
          <w:color w:val="auto"/>
          <w:sz w:val="32"/>
          <w:szCs w:val="32"/>
          <w:highlight w:val="none"/>
          <w:lang w:val="en-US" w:eastAsia="zh-CN"/>
        </w:rPr>
        <w:t>，带动企业数量</w:t>
      </w:r>
      <w:r>
        <w:rPr>
          <w:rFonts w:hint="eastAsia" w:ascii="仿宋_GB2312" w:hAnsi="仿宋_GB2312" w:eastAsia="仿宋_GB2312" w:cs="仿宋_GB2312"/>
          <w:b/>
          <w:bCs w:val="0"/>
          <w:color w:val="auto"/>
          <w:sz w:val="32"/>
          <w:szCs w:val="32"/>
          <w:highlight w:val="none"/>
          <w:lang w:val="en-US" w:eastAsia="zh-CN"/>
        </w:rPr>
        <w:t>增长10%</w:t>
      </w:r>
      <w:r>
        <w:rPr>
          <w:rFonts w:hint="eastAsia" w:ascii="仿宋_GB2312" w:hAnsi="仿宋_GB2312" w:eastAsia="仿宋_GB2312" w:cs="仿宋_GB2312"/>
          <w:b w:val="0"/>
          <w:bCs/>
          <w:color w:val="auto"/>
          <w:sz w:val="32"/>
          <w:szCs w:val="32"/>
          <w:highlight w:val="none"/>
          <w:lang w:val="en-US" w:eastAsia="zh-CN"/>
        </w:rPr>
        <w:t>，预计新增营收2亿元，拉动园区产值增长10%。首创</w:t>
      </w:r>
      <w:r>
        <w:rPr>
          <w:rFonts w:hint="eastAsia" w:ascii="仿宋_GB2312" w:hAnsi="仿宋_GB2312" w:eastAsia="仿宋_GB2312" w:cs="仿宋_GB2312"/>
          <w:b/>
          <w:bCs w:val="0"/>
          <w:color w:val="auto"/>
          <w:sz w:val="32"/>
          <w:szCs w:val="32"/>
          <w:highlight w:val="none"/>
          <w:lang w:val="en-US" w:eastAsia="zh-CN"/>
        </w:rPr>
        <w:t>社会物业联盟</w:t>
      </w:r>
      <w:r>
        <w:rPr>
          <w:rFonts w:hint="eastAsia" w:ascii="仿宋_GB2312" w:hAnsi="仿宋_GB2312" w:eastAsia="仿宋_GB2312" w:cs="仿宋_GB2312"/>
          <w:b w:val="0"/>
          <w:bCs/>
          <w:color w:val="auto"/>
          <w:sz w:val="32"/>
          <w:szCs w:val="32"/>
          <w:highlight w:val="none"/>
          <w:lang w:val="en-US" w:eastAsia="zh-CN"/>
        </w:rPr>
        <w:t>，认定</w:t>
      </w:r>
      <w:r>
        <w:rPr>
          <w:rFonts w:hint="eastAsia" w:ascii="仿宋_GB2312" w:hAnsi="仿宋_GB2312" w:eastAsia="仿宋_GB2312" w:cs="仿宋_GB2312"/>
          <w:b/>
          <w:bCs w:val="0"/>
          <w:color w:val="auto"/>
          <w:sz w:val="32"/>
          <w:szCs w:val="32"/>
          <w:highlight w:val="none"/>
          <w:lang w:val="en-US" w:eastAsia="zh-CN"/>
        </w:rPr>
        <w:t>9个文化创意产业园区</w:t>
      </w:r>
      <w:r>
        <w:rPr>
          <w:rFonts w:hint="eastAsia" w:ascii="仿宋_GB2312" w:hAnsi="仿宋_GB2312" w:eastAsia="仿宋_GB2312" w:cs="仿宋_GB2312"/>
          <w:b w:val="0"/>
          <w:bCs/>
          <w:color w:val="auto"/>
          <w:sz w:val="32"/>
          <w:szCs w:val="32"/>
          <w:highlight w:val="none"/>
          <w:lang w:val="en-US" w:eastAsia="zh-CN"/>
        </w:rPr>
        <w:t>，累计低成本产业空间面积超过</w:t>
      </w:r>
      <w:r>
        <w:rPr>
          <w:rFonts w:hint="eastAsia" w:ascii="仿宋_GB2312" w:hAnsi="仿宋_GB2312" w:eastAsia="仿宋_GB2312" w:cs="仿宋_GB2312"/>
          <w:b/>
          <w:bCs w:val="0"/>
          <w:color w:val="auto"/>
          <w:sz w:val="32"/>
          <w:szCs w:val="32"/>
          <w:highlight w:val="none"/>
          <w:lang w:val="en-US" w:eastAsia="zh-CN"/>
        </w:rPr>
        <w:t>60万平方米</w:t>
      </w:r>
      <w:r>
        <w:rPr>
          <w:rFonts w:hint="eastAsia" w:ascii="仿宋_GB2312" w:hAnsi="仿宋_GB2312" w:eastAsia="仿宋_GB2312" w:cs="仿宋_GB2312"/>
          <w:b w:val="0"/>
          <w:bCs/>
          <w:color w:val="auto"/>
          <w:sz w:val="32"/>
          <w:szCs w:val="32"/>
          <w:highlight w:val="none"/>
          <w:lang w:val="en-US" w:eastAsia="zh-CN"/>
        </w:rPr>
        <w:t>。</w:t>
      </w:r>
      <w:r>
        <w:rPr>
          <w:rFonts w:hint="eastAsia" w:ascii="仿宋_GB2312" w:hAnsi="仿宋_GB2312" w:eastAsia="仿宋_GB2312" w:cs="仿宋_GB2312"/>
          <w:b/>
          <w:bCs w:val="0"/>
          <w:color w:val="auto"/>
          <w:sz w:val="32"/>
          <w:szCs w:val="32"/>
          <w:highlight w:val="none"/>
          <w:lang w:val="en-US" w:eastAsia="zh-CN"/>
        </w:rPr>
        <w:t>一份招商工具包。</w:t>
      </w:r>
      <w:r>
        <w:rPr>
          <w:rFonts w:hint="eastAsia" w:ascii="仿宋_GB2312" w:hAnsi="仿宋_GB2312" w:eastAsia="仿宋_GB2312" w:cs="仿宋_GB2312"/>
          <w:color w:val="auto"/>
          <w:sz w:val="32"/>
          <w:szCs w:val="32"/>
          <w:highlight w:val="none"/>
          <w:lang w:val="en-US" w:eastAsia="zh-CN"/>
        </w:rPr>
        <w:t>制定</w:t>
      </w:r>
      <w:r>
        <w:rPr>
          <w:rFonts w:hint="eastAsia" w:ascii="仿宋_GB2312" w:hAnsi="仿宋_GB2312" w:eastAsia="仿宋_GB2312" w:cs="仿宋_GB2312"/>
          <w:b/>
          <w:bCs/>
          <w:color w:val="auto"/>
          <w:sz w:val="32"/>
          <w:szCs w:val="32"/>
          <w:highlight w:val="none"/>
          <w:lang w:val="en-US" w:eastAsia="zh-CN"/>
        </w:rPr>
        <w:t>“七个一”</w:t>
      </w:r>
      <w:r>
        <w:rPr>
          <w:rFonts w:hint="eastAsia" w:ascii="仿宋_GB2312" w:hAnsi="仿宋_GB2312" w:eastAsia="仿宋_GB2312" w:cs="仿宋_GB2312"/>
          <w:color w:val="auto"/>
          <w:sz w:val="32"/>
          <w:szCs w:val="32"/>
          <w:highlight w:val="none"/>
          <w:lang w:val="en-US" w:eastAsia="zh-CN"/>
        </w:rPr>
        <w:t>招商引资工具包（一个招商视频、一套招商引资PPT、一套政策、一套福礼、一本招商手册、一个联系机制、一份意向落户协议书），</w:t>
      </w:r>
      <w:r>
        <w:rPr>
          <w:rFonts w:hint="eastAsia" w:ascii="仿宋_GB2312" w:hAnsi="仿宋_GB2312" w:eastAsia="仿宋_GB2312" w:cs="仿宋_GB2312"/>
          <w:b w:val="0"/>
          <w:bCs w:val="0"/>
          <w:color w:val="auto"/>
          <w:sz w:val="32"/>
          <w:szCs w:val="32"/>
          <w:highlight w:val="none"/>
          <w:lang w:val="en-US" w:eastAsia="zh-CN"/>
        </w:rPr>
        <w:t>成立七支招商小分队开展常态化招引工作，</w:t>
      </w:r>
      <w:r>
        <w:rPr>
          <w:rFonts w:hint="eastAsia" w:ascii="仿宋_GB2312" w:hAnsi="仿宋_GB2312" w:eastAsia="仿宋_GB2312" w:cs="仿宋_GB2312"/>
          <w:color w:val="auto"/>
          <w:sz w:val="32"/>
          <w:szCs w:val="32"/>
          <w:highlight w:val="none"/>
          <w:lang w:val="en-US" w:eastAsia="zh-CN"/>
        </w:rPr>
        <w:t>今年以来累计落户企业27家，注册资本2.5亿元，预计带来营收14亿元，在谈项目49个。</w:t>
      </w:r>
    </w:p>
    <w:p w14:paraId="503C9EA1">
      <w:pPr>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leftChars="0" w:firstLine="640" w:firstLineChars="200"/>
        <w:jc w:val="left"/>
        <w:textAlignment w:val="auto"/>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（三）聚焦服务质量，营造福田区国际旅游中心氛围</w:t>
      </w:r>
    </w:p>
    <w:p w14:paraId="3E442AE5">
      <w:pPr>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leftChars="0" w:firstLine="643"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一是加推政策支持引导文旅场所提升国际化品质。</w:t>
      </w:r>
      <w:r>
        <w:rPr>
          <w:rFonts w:hint="eastAsia" w:ascii="仿宋_GB2312" w:hAnsi="仿宋_GB2312" w:eastAsia="仿宋_GB2312" w:cs="仿宋_GB2312"/>
          <w:color w:val="auto"/>
          <w:sz w:val="32"/>
          <w:szCs w:val="32"/>
          <w:lang w:val="en-US" w:eastAsia="zh-CN"/>
        </w:rPr>
        <w:t>我区正在研究加推</w:t>
      </w:r>
      <w:r>
        <w:rPr>
          <w:rFonts w:hint="default" w:ascii="仿宋_GB2312" w:hAnsi="仿宋_GB2312" w:eastAsia="仿宋_GB2312" w:cs="仿宋_GB2312"/>
          <w:color w:val="auto"/>
          <w:sz w:val="32"/>
          <w:szCs w:val="32"/>
          <w:lang w:val="en-US" w:eastAsia="zh-CN"/>
        </w:rPr>
        <w:t>《深圳市福田区支持文旅产业高质量发展若干措施》，内容涵盖四条旅游促消费措施</w:t>
      </w:r>
      <w:r>
        <w:rPr>
          <w:rFonts w:hint="eastAsia" w:ascii="仿宋_GB2312" w:hAnsi="仿宋_GB2312" w:eastAsia="仿宋_GB2312" w:cs="仿宋_GB2312"/>
          <w:color w:val="auto"/>
          <w:sz w:val="32"/>
          <w:szCs w:val="32"/>
          <w:lang w:val="en-US" w:eastAsia="zh-CN"/>
        </w:rPr>
        <w:t>。其中“</w:t>
      </w:r>
      <w:r>
        <w:rPr>
          <w:rFonts w:hint="default" w:ascii="仿宋_GB2312" w:hAnsi="仿宋_GB2312" w:eastAsia="仿宋_GB2312" w:cs="仿宋_GB2312"/>
          <w:color w:val="auto"/>
          <w:sz w:val="32"/>
          <w:szCs w:val="32"/>
          <w:lang w:val="en-US" w:eastAsia="zh-CN"/>
        </w:rPr>
        <w:t>提升文旅消费环境国际化品质支持</w:t>
      </w:r>
      <w:r>
        <w:rPr>
          <w:rFonts w:hint="eastAsia" w:ascii="仿宋_GB2312" w:hAnsi="仿宋_GB2312" w:eastAsia="仿宋_GB2312" w:cs="仿宋_GB2312"/>
          <w:color w:val="auto"/>
          <w:sz w:val="32"/>
          <w:szCs w:val="32"/>
          <w:lang w:val="en-US" w:eastAsia="zh-CN"/>
        </w:rPr>
        <w:t>”明确</w:t>
      </w:r>
      <w:r>
        <w:rPr>
          <w:rFonts w:hint="default" w:ascii="仿宋_GB2312" w:hAnsi="仿宋_GB2312" w:eastAsia="仿宋_GB2312" w:cs="仿宋_GB2312"/>
          <w:color w:val="auto"/>
          <w:kern w:val="0"/>
          <w:sz w:val="32"/>
          <w:szCs w:val="32"/>
          <w:highlight w:val="none"/>
          <w:lang w:val="en-US" w:eastAsia="zh-CN" w:bidi="ar-SA"/>
        </w:rPr>
        <w:t>对</w:t>
      </w:r>
      <w:r>
        <w:rPr>
          <w:rFonts w:hint="eastAsia" w:ascii="仿宋_GB2312" w:hAnsi="仿宋_GB2312" w:eastAsia="仿宋_GB2312" w:cs="仿宋_GB2312"/>
          <w:color w:val="auto"/>
          <w:kern w:val="0"/>
          <w:sz w:val="32"/>
          <w:szCs w:val="32"/>
          <w:highlight w:val="none"/>
          <w:lang w:val="en-US" w:eastAsia="zh-CN" w:bidi="ar-SA"/>
        </w:rPr>
        <w:t>福田区</w:t>
      </w:r>
      <w:r>
        <w:rPr>
          <w:rFonts w:hint="default" w:ascii="仿宋_GB2312" w:hAnsi="仿宋_GB2312" w:eastAsia="仿宋_GB2312" w:cs="仿宋_GB2312"/>
          <w:color w:val="auto"/>
          <w:kern w:val="0"/>
          <w:sz w:val="32"/>
          <w:szCs w:val="32"/>
          <w:highlight w:val="none"/>
          <w:lang w:val="en-US" w:eastAsia="zh-CN" w:bidi="ar-SA"/>
        </w:rPr>
        <w:t>旅游</w:t>
      </w:r>
      <w:r>
        <w:rPr>
          <w:rFonts w:hint="eastAsia" w:ascii="仿宋_GB2312" w:hAnsi="仿宋_GB2312" w:eastAsia="仿宋_GB2312" w:cs="仿宋_GB2312"/>
          <w:color w:val="auto"/>
          <w:kern w:val="0"/>
          <w:sz w:val="32"/>
          <w:szCs w:val="32"/>
          <w:highlight w:val="none"/>
          <w:lang w:val="en-US" w:eastAsia="zh-CN" w:bidi="ar-SA"/>
        </w:rPr>
        <w:t>景点</w:t>
      </w:r>
      <w:r>
        <w:rPr>
          <w:rFonts w:hint="default" w:ascii="仿宋_GB2312" w:hAnsi="仿宋_GB2312" w:eastAsia="仿宋_GB2312" w:cs="仿宋_GB2312"/>
          <w:color w:val="auto"/>
          <w:kern w:val="0"/>
          <w:sz w:val="32"/>
          <w:szCs w:val="32"/>
          <w:highlight w:val="none"/>
          <w:lang w:val="en-US" w:eastAsia="zh-CN" w:bidi="ar-SA"/>
        </w:rPr>
        <w:t>景区、</w:t>
      </w:r>
      <w:r>
        <w:rPr>
          <w:rFonts w:hint="eastAsia" w:ascii="仿宋_GB2312" w:hAnsi="仿宋_GB2312" w:eastAsia="仿宋_GB2312" w:cs="仿宋_GB2312"/>
          <w:color w:val="auto"/>
          <w:kern w:val="0"/>
          <w:sz w:val="32"/>
          <w:szCs w:val="32"/>
          <w:highlight w:val="none"/>
          <w:lang w:val="en-US" w:eastAsia="zh-CN" w:bidi="ar-SA"/>
        </w:rPr>
        <w:t>住宿业</w:t>
      </w:r>
      <w:r>
        <w:rPr>
          <w:rFonts w:hint="default" w:ascii="仿宋_GB2312" w:hAnsi="仿宋_GB2312" w:eastAsia="仿宋_GB2312" w:cs="仿宋_GB2312"/>
          <w:color w:val="auto"/>
          <w:kern w:val="0"/>
          <w:sz w:val="32"/>
          <w:szCs w:val="32"/>
          <w:highlight w:val="none"/>
          <w:lang w:val="en-US" w:eastAsia="zh-CN" w:bidi="ar-SA"/>
        </w:rPr>
        <w:t>酒店</w:t>
      </w:r>
      <w:r>
        <w:rPr>
          <w:rFonts w:hint="eastAsia" w:ascii="仿宋_GB2312" w:hAnsi="仿宋_GB2312" w:eastAsia="仿宋_GB2312" w:cs="仿宋_GB2312"/>
          <w:color w:val="auto"/>
          <w:kern w:val="0"/>
          <w:sz w:val="32"/>
          <w:szCs w:val="32"/>
          <w:highlight w:val="none"/>
          <w:lang w:val="en-US" w:eastAsia="zh-CN" w:bidi="ar-SA"/>
        </w:rPr>
        <w:t>、</w:t>
      </w:r>
      <w:r>
        <w:rPr>
          <w:rFonts w:hint="default" w:ascii="仿宋_GB2312" w:hAnsi="仿宋_GB2312" w:eastAsia="仿宋_GB2312" w:cs="仿宋_GB2312"/>
          <w:color w:val="auto"/>
          <w:kern w:val="0"/>
          <w:sz w:val="32"/>
          <w:szCs w:val="32"/>
          <w:highlight w:val="none"/>
          <w:lang w:val="en-US" w:eastAsia="zh-CN" w:bidi="ar-SA"/>
        </w:rPr>
        <w:t>文化场所、体育场馆等市场主体，新建或提升多语种旅游咨询区</w:t>
      </w:r>
      <w:r>
        <w:rPr>
          <w:rFonts w:hint="eastAsia" w:ascii="仿宋_GB2312" w:hAnsi="仿宋_GB2312" w:eastAsia="仿宋_GB2312" w:cs="仿宋_GB2312"/>
          <w:color w:val="auto"/>
          <w:kern w:val="0"/>
          <w:sz w:val="32"/>
          <w:szCs w:val="32"/>
          <w:highlight w:val="none"/>
          <w:lang w:val="en-US" w:eastAsia="zh-CN" w:bidi="ar-SA"/>
        </w:rPr>
        <w:t>（台）</w:t>
      </w:r>
      <w:r>
        <w:rPr>
          <w:rFonts w:hint="default" w:ascii="仿宋_GB2312" w:hAnsi="仿宋_GB2312" w:eastAsia="仿宋_GB2312" w:cs="仿宋_GB2312"/>
          <w:color w:val="auto"/>
          <w:kern w:val="0"/>
          <w:sz w:val="32"/>
          <w:szCs w:val="32"/>
          <w:highlight w:val="none"/>
          <w:lang w:val="en-US" w:eastAsia="zh-CN" w:bidi="ar-SA"/>
        </w:rPr>
        <w:t>、多语种标识标牌系统、行李寄存设备等国际化、便利化、多语种消费服务设施，按照设施设备投入的30%，给予最高20万元奖励。</w:t>
      </w:r>
      <w:r>
        <w:rPr>
          <w:rFonts w:hint="eastAsia" w:ascii="仿宋_GB2312" w:hAnsi="仿宋_GB2312" w:eastAsia="仿宋_GB2312" w:cs="仿宋_GB2312"/>
          <w:b/>
          <w:bCs/>
          <w:color w:val="auto"/>
          <w:sz w:val="32"/>
          <w:szCs w:val="32"/>
          <w:lang w:val="en-US" w:eastAsia="zh-CN"/>
        </w:rPr>
        <w:t>二是提升语言国际化环境建设和服务。</w:t>
      </w:r>
      <w:r>
        <w:rPr>
          <w:rFonts w:hint="eastAsia" w:ascii="仿宋_GB2312" w:hAnsi="仿宋_GB2312" w:eastAsia="仿宋_GB2312" w:cs="仿宋_GB2312"/>
          <w:b w:val="0"/>
          <w:bCs w:val="0"/>
          <w:color w:val="auto"/>
          <w:sz w:val="32"/>
          <w:szCs w:val="32"/>
          <w:lang w:val="en-US" w:eastAsia="zh-CN"/>
        </w:rPr>
        <w:t>聚焦机场、口岸、高铁等外籍人士“落地首站”，设置外国人服务点摆放双语宣传材料、扩大外语标识服务面、提高周边商圈“双语菜单”覆盖率，在福田区打造全市一批示范点。</w:t>
      </w:r>
    </w:p>
    <w:p w14:paraId="1C2B65A6">
      <w:pPr>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leftChars="0" w:firstLine="640" w:firstLineChars="200"/>
        <w:jc w:val="left"/>
        <w:textAlignment w:val="auto"/>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（四）深化文旅融合，推动深港同城生活圈建设</w:t>
      </w:r>
    </w:p>
    <w:p w14:paraId="4FD3777B">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lang w:val="en-US" w:eastAsia="zh-CN" w:bidi="ar-SA"/>
        </w:rPr>
        <w:t>深港一衣带水，深港游客“双向奔赴”的融合画卷正在铺展。前期，我区积极与香港驻深联络处对接，通过举办文旅推介活动、开展线上线下多形式宣传福田旅游等，推动两地旅游资源互动，提升游客体验感，进一步带动旅游消费。今年，我区联动行业头部企业“</w:t>
      </w:r>
      <w:r>
        <w:rPr>
          <w:rFonts w:hint="eastAsia" w:ascii="仿宋_GB2312" w:hAnsi="仿宋_GB2312" w:eastAsia="仿宋_GB2312" w:cs="仿宋_GB2312"/>
          <w:color w:val="auto"/>
          <w:kern w:val="0"/>
          <w:sz w:val="32"/>
          <w:szCs w:val="32"/>
          <w:lang w:val="en-US" w:eastAsia="zh-CN" w:bidi="ar-SA"/>
        </w:rPr>
        <w:t>客路旅行”平台，鼓励辖区内商户入驻该平台，并在春节、五一、端午期间针对香港游客推出旅游线路，利用其港澳月活用户数量多、拥有多种交易货币和付款方式等平台优势，</w:t>
      </w:r>
      <w:r>
        <w:rPr>
          <w:rFonts w:hint="eastAsia" w:ascii="仿宋_GB2312" w:hAnsi="仿宋_GB2312" w:eastAsia="仿宋_GB2312" w:cs="仿宋_GB2312"/>
          <w:color w:val="auto"/>
          <w:kern w:val="2"/>
          <w:sz w:val="32"/>
          <w:szCs w:val="32"/>
          <w:lang w:val="en-US" w:eastAsia="zh-CN" w:bidi="ar-SA"/>
        </w:rPr>
        <w:t>提升港人游客在福田的旅游便利度。</w:t>
      </w:r>
      <w:r>
        <w:rPr>
          <w:rFonts w:hint="eastAsia" w:ascii="仿宋_GB2312" w:hAnsi="仿宋_GB2312" w:eastAsia="仿宋_GB2312" w:cs="仿宋_GB2312"/>
          <w:color w:val="auto"/>
          <w:kern w:val="2"/>
          <w:sz w:val="32"/>
          <w:szCs w:val="32"/>
          <w:highlight w:val="none"/>
          <w:lang w:val="en-US" w:eastAsia="zh-CN" w:bidi="ar-SA"/>
        </w:rPr>
        <w:t>同时在客路平台联动福田区近百户商家发放优惠券，累计近5000人领取，激发港人来福田消费潜能。</w:t>
      </w:r>
    </w:p>
    <w:p w14:paraId="204C9438">
      <w:pPr>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leftChars="0" w:firstLine="640" w:firstLineChars="200"/>
        <w:jc w:val="left"/>
        <w:textAlignment w:val="auto"/>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（五）建设打造深港融合特色文化街区</w:t>
      </w:r>
    </w:p>
    <w:p w14:paraId="39236E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jc w:val="left"/>
        <w:textAlignment w:val="auto"/>
        <w:rPr>
          <w:rFonts w:hint="default" w:ascii="PingFangSC-regular" w:hAnsi="PingFangSC-regular" w:eastAsia="PingFangSC-regular" w:cs="PingFangSC-regular"/>
          <w:i w:val="0"/>
          <w:iCs w:val="0"/>
          <w:caps w:val="0"/>
          <w:color w:val="auto"/>
          <w:spacing w:val="0"/>
          <w:sz w:val="24"/>
          <w:szCs w:val="24"/>
        </w:rPr>
      </w:pPr>
      <w:r>
        <w:rPr>
          <w:rFonts w:hint="eastAsia" w:ascii="仿宋_GB2312" w:hAnsi="仿宋_GB2312" w:eastAsia="仿宋_GB2312" w:cs="仿宋_GB2312"/>
          <w:b w:val="0"/>
          <w:bCs w:val="0"/>
          <w:color w:val="auto"/>
          <w:sz w:val="32"/>
          <w:szCs w:val="32"/>
          <w:lang w:val="en-US" w:eastAsia="zh-CN"/>
        </w:rPr>
        <w:t>河套深港科技创新合作区是深圳和香港两地的重要交汇点，科技创新是深港“强强联合”的“发力点”，建设深港融合的特色文化街区非常有必要。福田区依托</w:t>
      </w:r>
      <w:r>
        <w:rPr>
          <w:rFonts w:hint="default" w:ascii="仿宋_GB2312" w:hAnsi="仿宋_GB2312" w:eastAsia="仿宋_GB2312" w:cs="仿宋_GB2312"/>
          <w:b w:val="0"/>
          <w:bCs w:val="0"/>
          <w:color w:val="auto"/>
          <w:sz w:val="32"/>
          <w:szCs w:val="32"/>
          <w:lang w:val="en-US" w:eastAsia="zh-CN"/>
        </w:rPr>
        <w:t>第十届深港城市建筑双城双年展（深圳），</w:t>
      </w:r>
      <w:r>
        <w:rPr>
          <w:rFonts w:hint="eastAsia" w:ascii="仿宋_GB2312" w:hAnsi="仿宋_GB2312" w:eastAsia="仿宋_GB2312" w:cs="仿宋_GB2312"/>
          <w:b w:val="0"/>
          <w:bCs w:val="0"/>
          <w:color w:val="auto"/>
          <w:sz w:val="32"/>
          <w:szCs w:val="32"/>
          <w:lang w:val="en-US" w:eastAsia="zh-CN"/>
        </w:rPr>
        <w:t>实施“</w:t>
      </w:r>
      <w:r>
        <w:rPr>
          <w:rFonts w:hint="default" w:ascii="仿宋_GB2312" w:hAnsi="仿宋_GB2312" w:eastAsia="仿宋_GB2312" w:cs="仿宋_GB2312"/>
          <w:b w:val="0"/>
          <w:bCs w:val="0"/>
          <w:color w:val="auto"/>
          <w:sz w:val="32"/>
          <w:szCs w:val="32"/>
          <w:lang w:val="en-US" w:eastAsia="zh-CN"/>
        </w:rPr>
        <w:t>1+1+N</w:t>
      </w:r>
      <w:r>
        <w:rPr>
          <w:rFonts w:hint="eastAsia" w:ascii="仿宋_GB2312" w:hAnsi="仿宋_GB2312" w:eastAsia="仿宋_GB2312" w:cs="仿宋_GB2312"/>
          <w:b w:val="0"/>
          <w:bCs w:val="0"/>
          <w:color w:val="auto"/>
          <w:sz w:val="32"/>
          <w:szCs w:val="32"/>
          <w:lang w:val="en-US" w:eastAsia="zh-CN"/>
        </w:rPr>
        <w:t>”模式，以</w:t>
      </w:r>
      <w:r>
        <w:rPr>
          <w:rFonts w:hint="default" w:ascii="仿宋_GB2312" w:hAnsi="仿宋_GB2312" w:eastAsia="仿宋_GB2312" w:cs="仿宋_GB2312"/>
          <w:b w:val="0"/>
          <w:bCs w:val="0"/>
          <w:color w:val="auto"/>
          <w:sz w:val="32"/>
          <w:szCs w:val="32"/>
          <w:lang w:val="en-US" w:eastAsia="zh-CN"/>
        </w:rPr>
        <w:t>河套科创中心为主展场，瑞香道</w:t>
      </w:r>
      <w:r>
        <w:rPr>
          <w:rFonts w:hint="eastAsia" w:ascii="仿宋_GB2312" w:hAnsi="仿宋_GB2312" w:eastAsia="仿宋_GB2312" w:cs="仿宋_GB2312"/>
          <w:b w:val="0"/>
          <w:bCs w:val="0"/>
          <w:color w:val="auto"/>
          <w:sz w:val="32"/>
          <w:szCs w:val="32"/>
          <w:lang w:val="en-US" w:eastAsia="zh-CN"/>
        </w:rPr>
        <w:t>为</w:t>
      </w:r>
      <w:r>
        <w:rPr>
          <w:rFonts w:hint="default" w:ascii="仿宋_GB2312" w:hAnsi="仿宋_GB2312" w:eastAsia="仿宋_GB2312" w:cs="仿宋_GB2312"/>
          <w:b w:val="0"/>
          <w:bCs w:val="0"/>
          <w:color w:val="auto"/>
          <w:sz w:val="32"/>
          <w:szCs w:val="32"/>
          <w:lang w:val="en-US" w:eastAsia="zh-CN"/>
        </w:rPr>
        <w:t>展区中轴</w:t>
      </w:r>
      <w:r>
        <w:rPr>
          <w:rFonts w:hint="eastAsia" w:ascii="仿宋_GB2312" w:hAnsi="仿宋_GB2312" w:eastAsia="仿宋_GB2312" w:cs="仿宋_GB2312"/>
          <w:b w:val="0"/>
          <w:bCs w:val="0"/>
          <w:color w:val="auto"/>
          <w:sz w:val="32"/>
          <w:szCs w:val="32"/>
          <w:lang w:val="en-US" w:eastAsia="zh-CN"/>
        </w:rPr>
        <w:t>，</w:t>
      </w:r>
      <w:r>
        <w:rPr>
          <w:rFonts w:hint="default" w:ascii="仿宋_GB2312" w:hAnsi="仿宋_GB2312" w:eastAsia="仿宋_GB2312" w:cs="仿宋_GB2312"/>
          <w:b w:val="0"/>
          <w:bCs w:val="0"/>
          <w:color w:val="auto"/>
          <w:sz w:val="32"/>
          <w:szCs w:val="32"/>
          <w:lang w:val="en-US" w:eastAsia="zh-CN"/>
        </w:rPr>
        <w:t>N</w:t>
      </w:r>
      <w:r>
        <w:rPr>
          <w:rFonts w:hint="eastAsia" w:ascii="仿宋_GB2312" w:hAnsi="仿宋_GB2312" w:eastAsia="仿宋_GB2312" w:cs="仿宋_GB2312"/>
          <w:b w:val="0"/>
          <w:bCs w:val="0"/>
          <w:color w:val="auto"/>
          <w:sz w:val="32"/>
          <w:szCs w:val="32"/>
          <w:lang w:val="en-US" w:eastAsia="zh-CN"/>
        </w:rPr>
        <w:t>个</w:t>
      </w:r>
      <w:r>
        <w:rPr>
          <w:rFonts w:hint="default" w:ascii="仿宋_GB2312" w:hAnsi="仿宋_GB2312" w:eastAsia="仿宋_GB2312" w:cs="仿宋_GB2312"/>
          <w:b w:val="0"/>
          <w:bCs w:val="0"/>
          <w:color w:val="auto"/>
          <w:sz w:val="32"/>
          <w:szCs w:val="32"/>
          <w:lang w:val="en-US" w:eastAsia="zh-CN"/>
        </w:rPr>
        <w:t>公共空间</w:t>
      </w:r>
      <w:r>
        <w:rPr>
          <w:rFonts w:hint="eastAsia" w:ascii="仿宋_GB2312" w:hAnsi="仿宋_GB2312" w:eastAsia="仿宋_GB2312" w:cs="仿宋_GB2312"/>
          <w:b w:val="0"/>
          <w:bCs w:val="0"/>
          <w:color w:val="auto"/>
          <w:sz w:val="32"/>
          <w:szCs w:val="32"/>
          <w:lang w:val="en-US" w:eastAsia="zh-CN"/>
        </w:rPr>
        <w:t>作为</w:t>
      </w:r>
      <w:r>
        <w:rPr>
          <w:rFonts w:hint="default" w:ascii="仿宋_GB2312" w:hAnsi="仿宋_GB2312" w:eastAsia="仿宋_GB2312" w:cs="仿宋_GB2312"/>
          <w:b w:val="0"/>
          <w:bCs w:val="0"/>
          <w:color w:val="auto"/>
          <w:sz w:val="32"/>
          <w:szCs w:val="32"/>
          <w:lang w:val="en-US" w:eastAsia="zh-CN"/>
        </w:rPr>
        <w:t>提升点</w:t>
      </w:r>
      <w:r>
        <w:rPr>
          <w:rFonts w:hint="eastAsia" w:ascii="仿宋_GB2312" w:hAnsi="仿宋_GB2312" w:eastAsia="仿宋_GB2312" w:cs="仿宋_GB2312"/>
          <w:b w:val="0"/>
          <w:bCs w:val="0"/>
          <w:color w:val="auto"/>
          <w:sz w:val="32"/>
          <w:szCs w:val="32"/>
          <w:lang w:val="en-US" w:eastAsia="zh-CN"/>
        </w:rPr>
        <w:t>，以展览激活片区，</w:t>
      </w:r>
      <w:r>
        <w:rPr>
          <w:rFonts w:hint="eastAsia" w:ascii="仿宋_GB2312" w:hAnsi="仿宋_GB2312" w:eastAsia="仿宋_GB2312" w:cs="仿宋_GB2312"/>
          <w:color w:val="auto"/>
          <w:kern w:val="2"/>
          <w:sz w:val="32"/>
          <w:szCs w:val="32"/>
          <w:lang w:val="en-US" w:eastAsia="zh-CN" w:bidi="ar-SA"/>
        </w:rPr>
        <w:t>打造河套深港融合高科技创新特色文化街区，</w:t>
      </w:r>
      <w:r>
        <w:rPr>
          <w:rFonts w:hint="default" w:ascii="仿宋_GB2312" w:hAnsi="仿宋_GB2312" w:eastAsia="仿宋_GB2312" w:cs="仿宋_GB2312"/>
          <w:color w:val="auto"/>
          <w:kern w:val="2"/>
          <w:sz w:val="32"/>
          <w:szCs w:val="32"/>
          <w:lang w:val="en-US" w:eastAsia="zh-CN" w:bidi="ar-SA"/>
        </w:rPr>
        <w:t>营造丰富多元的网红打卡点</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吸引</w:t>
      </w:r>
      <w:r>
        <w:rPr>
          <w:rFonts w:hint="eastAsia" w:ascii="仿宋_GB2312" w:hAnsi="仿宋_GB2312" w:eastAsia="仿宋_GB2312" w:cs="仿宋_GB2312"/>
          <w:color w:val="auto"/>
          <w:kern w:val="2"/>
          <w:sz w:val="32"/>
          <w:szCs w:val="32"/>
          <w:lang w:val="en-US" w:eastAsia="zh-CN" w:bidi="ar-SA"/>
        </w:rPr>
        <w:t>游客</w:t>
      </w:r>
      <w:r>
        <w:rPr>
          <w:rFonts w:hint="default" w:ascii="仿宋_GB2312" w:hAnsi="仿宋_GB2312" w:eastAsia="仿宋_GB2312" w:cs="仿宋_GB2312"/>
          <w:color w:val="auto"/>
          <w:kern w:val="2"/>
          <w:sz w:val="32"/>
          <w:szCs w:val="32"/>
          <w:lang w:val="en-US" w:eastAsia="zh-CN" w:bidi="ar-SA"/>
        </w:rPr>
        <w:t>游览参观</w:t>
      </w:r>
      <w:r>
        <w:rPr>
          <w:rFonts w:hint="eastAsia" w:ascii="仿宋_GB2312" w:hAnsi="仿宋_GB2312" w:eastAsia="仿宋_GB2312" w:cs="仿宋_GB2312"/>
          <w:color w:val="auto"/>
          <w:kern w:val="2"/>
          <w:sz w:val="32"/>
          <w:szCs w:val="32"/>
          <w:lang w:val="en-US" w:eastAsia="zh-CN" w:bidi="ar-SA"/>
        </w:rPr>
        <w:t>。在</w:t>
      </w:r>
      <w:r>
        <w:rPr>
          <w:rFonts w:hint="default" w:ascii="仿宋_GB2312" w:hAnsi="仿宋_GB2312" w:eastAsia="仿宋_GB2312" w:cs="仿宋_GB2312"/>
          <w:color w:val="auto"/>
          <w:kern w:val="2"/>
          <w:sz w:val="32"/>
          <w:szCs w:val="32"/>
          <w:lang w:val="en-US" w:eastAsia="zh-CN" w:bidi="ar-SA"/>
        </w:rPr>
        <w:t>河套科创中心</w:t>
      </w:r>
      <w:r>
        <w:rPr>
          <w:rFonts w:hint="eastAsia" w:ascii="仿宋_GB2312" w:hAnsi="仿宋_GB2312" w:eastAsia="仿宋_GB2312" w:cs="仿宋_GB2312"/>
          <w:color w:val="auto"/>
          <w:kern w:val="2"/>
          <w:sz w:val="32"/>
          <w:szCs w:val="32"/>
          <w:lang w:val="en-US" w:eastAsia="zh-CN" w:bidi="ar-SA"/>
        </w:rPr>
        <w:t>建设</w:t>
      </w:r>
      <w:r>
        <w:rPr>
          <w:rFonts w:hint="default" w:ascii="仿宋_GB2312" w:hAnsi="仿宋_GB2312" w:eastAsia="仿宋_GB2312" w:cs="仿宋_GB2312"/>
          <w:color w:val="auto"/>
          <w:kern w:val="2"/>
          <w:sz w:val="32"/>
          <w:szCs w:val="32"/>
          <w:lang w:val="en-US" w:eastAsia="zh-CN" w:bidi="ar-SA"/>
        </w:rPr>
        <w:t>有多层景观露台</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可眺望河套地区</w:t>
      </w:r>
      <w:r>
        <w:rPr>
          <w:rFonts w:hint="eastAsia" w:ascii="仿宋_GB2312" w:hAnsi="仿宋_GB2312" w:eastAsia="仿宋_GB2312" w:cs="仿宋_GB2312"/>
          <w:color w:val="auto"/>
          <w:kern w:val="2"/>
          <w:sz w:val="32"/>
          <w:szCs w:val="32"/>
          <w:lang w:val="en-US" w:eastAsia="zh-CN" w:bidi="ar-SA"/>
        </w:rPr>
        <w:t>，感受科技与文化融合发展。同时调动园区积极性，鼓励企业参与园区精小细微的更新设计，并向观众开放共享展览空间。联动设计机构，开展设计师开放日为公众提供设计创意导览。以艺术化的方式营造活力街区氛围，打造河套深港特色文化空间，促进文旅消费。</w:t>
      </w:r>
    </w:p>
    <w:p w14:paraId="070EF1B6">
      <w:pPr>
        <w:keepNext w:val="0"/>
        <w:keepLines w:val="0"/>
        <w:pageBreakBefore w:val="0"/>
        <w:widowControl/>
        <w:numPr>
          <w:ilvl w:val="0"/>
          <w:numId w:val="0"/>
        </w:numPr>
        <w:kinsoku/>
        <w:wordWrap/>
        <w:overflowPunct/>
        <w:topLinePunct w:val="0"/>
        <w:autoSpaceDE/>
        <w:autoSpaceDN/>
        <w:bidi w:val="0"/>
        <w:adjustRightInd/>
        <w:snapToGrid/>
        <w:spacing w:line="579" w:lineRule="exact"/>
        <w:ind w:left="0" w:leftChars="0" w:firstLine="640" w:firstLineChars="200"/>
        <w:jc w:val="both"/>
        <w:textAlignment w:val="auto"/>
        <w:outlineLvl w:val="0"/>
        <w:rPr>
          <w:rFonts w:hint="eastAsia" w:ascii="黑体" w:hAnsi="黑体" w:eastAsia="黑体" w:cs="黑体"/>
          <w:b w:val="0"/>
          <w:bCs w:val="0"/>
          <w:color w:val="auto"/>
          <w:spacing w:val="0"/>
          <w:kern w:val="0"/>
          <w:sz w:val="32"/>
          <w:szCs w:val="32"/>
          <w:highlight w:val="none"/>
          <w:u w:val="none"/>
          <w:lang w:val="en-US" w:eastAsia="zh-CN" w:bidi="ar-SA"/>
        </w:rPr>
      </w:pPr>
      <w:r>
        <w:rPr>
          <w:rFonts w:hint="eastAsia" w:ascii="黑体" w:hAnsi="黑体" w:eastAsia="黑体" w:cs="黑体"/>
          <w:b w:val="0"/>
          <w:bCs w:val="0"/>
          <w:color w:val="auto"/>
          <w:spacing w:val="0"/>
          <w:kern w:val="0"/>
          <w:sz w:val="32"/>
          <w:szCs w:val="32"/>
          <w:highlight w:val="none"/>
          <w:u w:val="none"/>
          <w:lang w:val="en-US" w:eastAsia="zh-CN" w:bidi="ar-SA"/>
        </w:rPr>
        <w:t>二、下一步工作计划</w:t>
      </w:r>
    </w:p>
    <w:p w14:paraId="21B0813C">
      <w:pPr>
        <w:pStyle w:val="9"/>
        <w:keepNext w:val="0"/>
        <w:keepLines w:val="0"/>
        <w:pageBreakBefore w:val="0"/>
        <w:widowControl w:val="0"/>
        <w:kinsoku/>
        <w:wordWrap/>
        <w:overflowPunct/>
        <w:topLinePunct w:val="0"/>
        <w:autoSpaceDE/>
        <w:autoSpaceDN/>
        <w:bidi w:val="0"/>
        <w:adjustRightInd/>
        <w:snapToGrid/>
        <w:spacing w:beforeAutospacing="0" w:afterAutospacing="0" w:line="579" w:lineRule="exact"/>
        <w:ind w:left="0" w:leftChars="0" w:firstLine="640" w:firstLineChars="200"/>
        <w:jc w:val="both"/>
        <w:textAlignment w:val="auto"/>
        <w:rPr>
          <w:rFonts w:hint="eastAsia" w:ascii="仿宋_GB2312" w:hAnsi="仿宋_GB2312" w:eastAsia="仿宋_GB2312" w:cs="仿宋_GB2312"/>
          <w:b w:val="0"/>
          <w:bCs w:val="0"/>
          <w:color w:val="auto"/>
          <w:spacing w:val="0"/>
          <w:kern w:val="0"/>
          <w:sz w:val="32"/>
          <w:szCs w:val="32"/>
          <w:highlight w:val="none"/>
          <w:u w:val="none"/>
          <w:lang w:val="en-US" w:eastAsia="zh-CN" w:bidi="ar-SA"/>
        </w:rPr>
      </w:pPr>
      <w:r>
        <w:rPr>
          <w:rFonts w:hint="eastAsia" w:ascii="楷体" w:hAnsi="楷体" w:eastAsia="楷体" w:cs="楷体"/>
          <w:b w:val="0"/>
          <w:bCs w:val="0"/>
          <w:color w:val="auto"/>
          <w:kern w:val="2"/>
          <w:sz w:val="32"/>
          <w:szCs w:val="32"/>
          <w:highlight w:val="none"/>
          <w:lang w:val="en-US" w:eastAsia="zh-CN" w:bidi="ar-SA"/>
        </w:rPr>
        <w:t>（一）研究打造游客服务中心。</w:t>
      </w:r>
      <w:r>
        <w:rPr>
          <w:rFonts w:hint="eastAsia" w:ascii="仿宋_GB2312" w:hAnsi="仿宋_GB2312" w:eastAsia="仿宋_GB2312" w:cs="仿宋_GB2312"/>
          <w:b w:val="0"/>
          <w:bCs w:val="0"/>
          <w:color w:val="auto"/>
          <w:spacing w:val="-6"/>
          <w:kern w:val="0"/>
          <w:sz w:val="32"/>
          <w:szCs w:val="32"/>
          <w:highlight w:val="none"/>
          <w:u w:val="none"/>
          <w:lang w:val="en-US" w:eastAsia="zh-CN" w:bidi="ar-SA"/>
        </w:rPr>
        <w:t>在福田口岸、皇岗口岸、福田高铁站等游客来深“第一站”建设游客服务中心，以此为依托开辟福田旅游宣传新阵地，同时为旅客提供旅游咨询和指引等服务，持续完善福田旅游公共服务设施建设，提升福田旅游服务质量。</w:t>
      </w:r>
    </w:p>
    <w:p w14:paraId="0EAD576D">
      <w:pPr>
        <w:keepNext w:val="0"/>
        <w:keepLines w:val="0"/>
        <w:pageBreakBefore w:val="0"/>
        <w:kinsoku/>
        <w:wordWrap/>
        <w:overflowPunct/>
        <w:topLinePunct w:val="0"/>
        <w:autoSpaceDE/>
        <w:autoSpaceDN/>
        <w:bidi w:val="0"/>
        <w:adjustRightInd/>
        <w:snapToGrid/>
        <w:spacing w:line="579" w:lineRule="exact"/>
        <w:ind w:left="0" w:leftChars="0" w:firstLine="640" w:firstLineChars="200"/>
        <w:jc w:val="both"/>
        <w:textAlignment w:val="auto"/>
        <w:rPr>
          <w:rFonts w:hint="eastAsia" w:ascii="楷体" w:hAnsi="楷体" w:eastAsia="楷体" w:cs="楷体"/>
          <w:b w:val="0"/>
          <w:bCs w:val="0"/>
          <w:color w:val="auto"/>
          <w:kern w:val="2"/>
          <w:sz w:val="32"/>
          <w:szCs w:val="32"/>
          <w:highlight w:val="none"/>
          <w:lang w:val="en-US" w:eastAsia="zh-CN" w:bidi="ar-SA"/>
        </w:rPr>
      </w:pPr>
      <w:r>
        <w:rPr>
          <w:rFonts w:hint="eastAsia" w:ascii="楷体" w:hAnsi="楷体" w:eastAsia="楷体" w:cs="楷体"/>
          <w:b w:val="0"/>
          <w:bCs w:val="0"/>
          <w:color w:val="auto"/>
          <w:kern w:val="2"/>
          <w:sz w:val="32"/>
          <w:szCs w:val="32"/>
          <w:highlight w:val="none"/>
          <w:lang w:val="en-US" w:eastAsia="zh-CN" w:bidi="ar-SA"/>
        </w:rPr>
        <w:t>（二）发挥客路旅行平台优势，进一步推动深港文旅融合。</w:t>
      </w:r>
    </w:p>
    <w:p w14:paraId="39AE08FA">
      <w:pPr>
        <w:keepNext w:val="0"/>
        <w:keepLines w:val="0"/>
        <w:pageBreakBefore w:val="0"/>
        <w:widowControl w:val="0"/>
        <w:kinsoku/>
        <w:wordWrap/>
        <w:overflowPunct/>
        <w:topLinePunct w:val="0"/>
        <w:autoSpaceDE/>
        <w:autoSpaceDN/>
        <w:bidi w:val="0"/>
        <w:adjustRightInd/>
        <w:snapToGrid/>
        <w:spacing w:line="579" w:lineRule="exact"/>
        <w:ind w:left="0" w:leftChars="0"/>
        <w:jc w:val="both"/>
        <w:textAlignment w:val="auto"/>
        <w:rPr>
          <w:rFonts w:hint="default"/>
          <w:color w:val="auto"/>
          <w:lang w:val="en-US" w:eastAsia="zh-CN"/>
        </w:rPr>
      </w:pPr>
      <w:r>
        <w:rPr>
          <w:rFonts w:hint="eastAsia" w:ascii="仿宋_GB2312" w:hAnsi="仿宋_GB2312" w:eastAsia="仿宋_GB2312" w:cs="仿宋_GB2312"/>
          <w:color w:val="auto"/>
          <w:sz w:val="32"/>
          <w:szCs w:val="32"/>
          <w:lang w:eastAsia="zh-CN"/>
        </w:rPr>
        <w:t>下一步，我区将推出“文旅新九条”政策，该政策实施后将有望大幅降低酒店、商户等入驻客路旅行平台的佣金成本，提高商户积极性。鼓励客路旅行发挥平台优势和旅游行业带动作用，鼓励南园商圈的商户和企业根据港客以吃喝玩乐为主需求、价格敏感等因素，与港人餐饮、购物、洗浴、美发美甲等兴趣点相结合，推出住、餐、购联动的套票类产品，吸引港人形成来深过周末的消费习惯。同时结合全区文体旅商活动等，推出商业活动与商业套票，带动港人来深旅游消费，推动深港同城生活圈建设。</w:t>
      </w:r>
    </w:p>
    <w:p w14:paraId="3CE3E776">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楷体" w:hAnsi="楷体" w:eastAsia="楷体" w:cs="楷体"/>
          <w:b w:val="0"/>
          <w:bCs w:val="0"/>
          <w:color w:val="auto"/>
          <w:kern w:val="2"/>
          <w:sz w:val="32"/>
          <w:szCs w:val="32"/>
          <w:highlight w:val="none"/>
          <w:lang w:val="en-US" w:eastAsia="zh-CN" w:bidi="ar-SA"/>
        </w:rPr>
        <w:t>（三）讲好深港同城故事，进一步推进全区文旅融合发展。</w:t>
      </w:r>
      <w:r>
        <w:rPr>
          <w:rFonts w:hint="eastAsia" w:ascii="仿宋_GB2312" w:hAnsi="仿宋_GB2312" w:eastAsia="仿宋_GB2312" w:cs="仿宋_GB2312"/>
          <w:b w:val="0"/>
          <w:bCs w:val="0"/>
          <w:color w:val="auto"/>
          <w:sz w:val="32"/>
          <w:szCs w:val="32"/>
        </w:rPr>
        <w:t>以文塑旅，以旅彰文，深入挖掘</w:t>
      </w:r>
      <w:r>
        <w:rPr>
          <w:rFonts w:hint="eastAsia" w:ascii="仿宋_GB2312" w:hAnsi="仿宋_GB2312" w:eastAsia="仿宋_GB2312" w:cs="仿宋_GB2312"/>
          <w:b w:val="0"/>
          <w:bCs w:val="0"/>
          <w:color w:val="auto"/>
          <w:sz w:val="32"/>
          <w:szCs w:val="32"/>
          <w:lang w:eastAsia="zh-CN"/>
        </w:rPr>
        <w:t>福田、香港</w:t>
      </w:r>
      <w:r>
        <w:rPr>
          <w:rFonts w:hint="eastAsia" w:ascii="仿宋_GB2312" w:hAnsi="仿宋_GB2312" w:eastAsia="仿宋_GB2312" w:cs="仿宋_GB2312"/>
          <w:b w:val="0"/>
          <w:bCs w:val="0"/>
          <w:color w:val="auto"/>
          <w:sz w:val="32"/>
          <w:szCs w:val="32"/>
        </w:rPr>
        <w:t>文化</w:t>
      </w:r>
      <w:r>
        <w:rPr>
          <w:rFonts w:hint="eastAsia" w:ascii="仿宋_GB2312" w:hAnsi="仿宋_GB2312" w:eastAsia="仿宋_GB2312" w:cs="仿宋_GB2312"/>
          <w:b w:val="0"/>
          <w:bCs w:val="0"/>
          <w:color w:val="auto"/>
          <w:sz w:val="32"/>
          <w:szCs w:val="32"/>
          <w:lang w:eastAsia="zh-CN"/>
        </w:rPr>
        <w:t>遗产地</w:t>
      </w:r>
      <w:r>
        <w:rPr>
          <w:rFonts w:hint="eastAsia" w:ascii="仿宋_GB2312" w:hAnsi="仿宋_GB2312" w:eastAsia="仿宋_GB2312" w:cs="仿宋_GB2312"/>
          <w:b w:val="0"/>
          <w:bCs w:val="0"/>
          <w:color w:val="auto"/>
          <w:sz w:val="32"/>
          <w:szCs w:val="32"/>
        </w:rPr>
        <w:t>的多重价值，大力弘扬优秀的历史文化和民族精神，使人们在潜移默化中坚定文化自信</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增强民族自豪感。引导、鼓励文化遗产新业态，更加注重推出可视化呈现、互动化传播、沉浸式体验的产品和服务，让人们触摸到有温度的文物和非物质文化遗产，讲好属于福田的故事。</w:t>
      </w:r>
    </w:p>
    <w:p w14:paraId="7F94A2D4">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楷体" w:hAnsi="楷体" w:eastAsia="楷体" w:cs="楷体"/>
          <w:b w:val="0"/>
          <w:bCs w:val="0"/>
          <w:color w:val="auto"/>
          <w:kern w:val="2"/>
          <w:sz w:val="32"/>
          <w:szCs w:val="32"/>
          <w:highlight w:val="none"/>
          <w:lang w:val="en-US" w:eastAsia="zh-CN" w:bidi="ar-SA"/>
        </w:rPr>
        <w:t>（四）持续深化深港文化融合，加快构建宜居宜业宜游优质生活圈。</w:t>
      </w:r>
      <w:r>
        <w:rPr>
          <w:rFonts w:hint="eastAsia" w:ascii="仿宋_GB2312" w:hAnsi="仿宋_GB2312" w:eastAsia="仿宋_GB2312" w:cs="仿宋_GB2312"/>
          <w:b w:val="0"/>
          <w:bCs w:val="0"/>
          <w:color w:val="auto"/>
          <w:sz w:val="32"/>
          <w:szCs w:val="32"/>
          <w:lang w:val="en-US" w:eastAsia="zh-CN"/>
        </w:rPr>
        <w:t>加强深港教育协同和产学研融合发展。策划深港时尚文化交流推介活动，与多家香港时尚产业协会签订战略合作框架协议，与香港大学经管学院等时尚文化教育机构建立合作关系。发挥河套深港科技创新合作区区位优势和政策优势，与香港内容生产优势形成互补，梳理编制影视产业龙头企业招商清单，推动长信影视、上影集团全资子公司落户福田，推动文体娱乐业、广告业等业态纳入合作区保留产业清单，加快构建具有海外影响力的文化传播和内容生产中心。从经济协同、服务互通到文化共鸣，加速推动深港“双向奔赴”。</w:t>
      </w:r>
    </w:p>
    <w:p w14:paraId="1C28B2AE">
      <w:pPr>
        <w:keepNext w:val="0"/>
        <w:keepLines w:val="0"/>
        <w:pageBreakBefore w:val="0"/>
        <w:widowControl/>
        <w:numPr>
          <w:ilvl w:val="0"/>
          <w:numId w:val="0"/>
        </w:numPr>
        <w:kinsoku/>
        <w:wordWrap/>
        <w:overflowPunct/>
        <w:topLinePunct w:val="0"/>
        <w:autoSpaceDE/>
        <w:autoSpaceDN/>
        <w:bidi w:val="0"/>
        <w:adjustRightInd/>
        <w:snapToGrid/>
        <w:spacing w:line="579" w:lineRule="exact"/>
        <w:ind w:left="0" w:leftChars="0" w:firstLine="640" w:firstLineChars="200"/>
        <w:jc w:val="both"/>
        <w:textAlignment w:val="auto"/>
        <w:outlineLvl w:val="0"/>
        <w:rPr>
          <w:rFonts w:hint="eastAsia" w:ascii="仿宋_GB2312" w:hAnsi="仿宋_GB2312" w:eastAsia="仿宋_GB2312" w:cs="仿宋_GB2312"/>
          <w:b w:val="0"/>
          <w:bCs w:val="0"/>
          <w:color w:val="auto"/>
          <w:sz w:val="32"/>
          <w:szCs w:val="32"/>
          <w:lang w:val="en-US" w:eastAsia="zh-CN"/>
        </w:rPr>
      </w:pPr>
      <w:r>
        <w:rPr>
          <w:rFonts w:hint="eastAsia" w:ascii="楷体" w:hAnsi="楷体" w:eastAsia="楷体" w:cs="楷体"/>
          <w:b w:val="0"/>
          <w:bCs w:val="0"/>
          <w:color w:val="auto"/>
          <w:kern w:val="2"/>
          <w:sz w:val="32"/>
          <w:szCs w:val="32"/>
          <w:highlight w:val="none"/>
          <w:lang w:val="en-US" w:eastAsia="zh-CN" w:bidi="ar-SA"/>
        </w:rPr>
        <w:t>（五）进一步强化河套深港融合高科技创新特色文化街区建设。</w:t>
      </w:r>
      <w:r>
        <w:rPr>
          <w:rFonts w:hint="eastAsia" w:ascii="仿宋_GB2312" w:hAnsi="仿宋_GB2312" w:eastAsia="仿宋_GB2312" w:cs="仿宋_GB2312"/>
          <w:b w:val="0"/>
          <w:bCs w:val="0"/>
          <w:color w:val="auto"/>
          <w:sz w:val="32"/>
          <w:szCs w:val="32"/>
          <w:lang w:val="en-US" w:eastAsia="zh-CN"/>
        </w:rPr>
        <w:t>依托河套深港科技创新合作区先进生物医药技术和人工智能与数字经济等高新科技创新特色产业，充分发挥政策优势和地理优势，拓展沉浸式、体验式、互动式消费新场景，持续深化以高科技成果展示为特色的综合型文旅街区。将河套深港科技文化街区打造成为深港联动、中西合璧的文旅全产业链条“深圳样本”，成为中国文旅行业的标杆典范。</w:t>
      </w:r>
    </w:p>
    <w:p w14:paraId="4B43A834">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特此回复</w:t>
      </w:r>
      <w:r>
        <w:rPr>
          <w:rFonts w:hint="eastAsia" w:ascii="仿宋_GB2312" w:hAnsi="仿宋_GB2312" w:eastAsia="仿宋_GB2312" w:cs="仿宋_GB2312"/>
          <w:b w:val="0"/>
          <w:bCs w:val="0"/>
          <w:color w:val="auto"/>
          <w:sz w:val="32"/>
          <w:szCs w:val="32"/>
          <w:lang w:eastAsia="zh-CN"/>
        </w:rPr>
        <w:t>。</w:t>
      </w:r>
    </w:p>
    <w:p w14:paraId="2AB401F9">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rPr>
      </w:pPr>
    </w:p>
    <w:p w14:paraId="298BCD75">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p>
    <w:p w14:paraId="3179BFF2">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color w:val="auto"/>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仿宋_GB2312" w:hAnsi="仿宋_GB2312" w:eastAsia="仿宋_GB2312" w:cs="仿宋_GB2312"/>
          <w:b w:val="0"/>
          <w:bCs w:val="0"/>
          <w:kern w:val="2"/>
          <w:sz w:val="32"/>
          <w:szCs w:val="32"/>
          <w:lang w:val="en-US" w:eastAsia="zh-CN" w:bidi="ar-SA"/>
        </w:rPr>
        <w:t>福田区文化广电旅游体育局</w:t>
      </w:r>
    </w:p>
    <w:p w14:paraId="02DB4044">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                             2024年9月20日</w:t>
      </w:r>
    </w:p>
    <w:p w14:paraId="60AE3292">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_GB2312" w:hAnsi="仿宋_GB2312" w:eastAsia="仿宋_GB2312" w:cs="仿宋_GB2312"/>
          <w:b w:val="0"/>
          <w:bCs w:val="0"/>
          <w:color w:val="auto"/>
          <w:sz w:val="28"/>
          <w:szCs w:val="28"/>
          <w:lang w:val="en-US" w:eastAsia="zh-CN"/>
        </w:rPr>
      </w:pPr>
    </w:p>
    <w:bookmarkEnd w:id="0"/>
    <w:sectPr>
      <w:footerReference r:id="rId3" w:type="default"/>
      <w:pgSz w:w="11906" w:h="16838"/>
      <w:pgMar w:top="2098" w:right="1474" w:bottom="1984" w:left="1587" w:header="851" w:footer="158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5A6B5E9-0822-4184-9D19-AE9AB16B65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A51344BD-4A47-423B-965B-90ECF1701B9E}"/>
  </w:font>
  <w:font w:name="方正小标宋简体">
    <w:panose1 w:val="02000000000000000000"/>
    <w:charset w:val="86"/>
    <w:family w:val="auto"/>
    <w:pitch w:val="default"/>
    <w:sig w:usb0="00000001" w:usb1="08000000" w:usb2="00000000" w:usb3="00000000" w:csb0="00040000" w:csb1="00000000"/>
    <w:embedRegular r:id="rId3" w:fontKey="{F89A9470-0D19-433A-A0EA-1A878CECD15C}"/>
  </w:font>
  <w:font w:name="方正小标宋_GBK">
    <w:panose1 w:val="02000000000000000000"/>
    <w:charset w:val="86"/>
    <w:family w:val="auto"/>
    <w:pitch w:val="default"/>
    <w:sig w:usb0="00000001" w:usb1="080E0000" w:usb2="00000000" w:usb3="00000000" w:csb0="00040000" w:csb1="00000000"/>
    <w:embedRegular r:id="rId4" w:fontKey="{2EC894E3-6D0F-41AC-BF84-A62FF9A79B8E}"/>
  </w:font>
  <w:font w:name="楷体">
    <w:panose1 w:val="02010609060101010101"/>
    <w:charset w:val="86"/>
    <w:family w:val="auto"/>
    <w:pitch w:val="default"/>
    <w:sig w:usb0="800002BF" w:usb1="38CF7CFA" w:usb2="00000016" w:usb3="00000000" w:csb0="00040001" w:csb1="00000000"/>
    <w:embedRegular r:id="rId5" w:fontKey="{DFF14013-1940-4EAE-A488-68E4CD4F2A4C}"/>
  </w:font>
  <w:font w:name="PingFangSC-regular">
    <w:altName w:val="Segoe Print"/>
    <w:panose1 w:val="00000000000000000000"/>
    <w:charset w:val="00"/>
    <w:family w:val="auto"/>
    <w:pitch w:val="default"/>
    <w:sig w:usb0="00000000" w:usb1="00000000" w:usb2="00000000" w:usb3="00000000" w:csb0="00000000" w:csb1="00000000"/>
    <w:embedRegular r:id="rId6" w:fontKey="{81AF60F6-A274-400C-8EE4-44263914DFA9}"/>
  </w:font>
  <w:font w:name="Segoe Print">
    <w:panose1 w:val="02000600000000000000"/>
    <w:charset w:val="00"/>
    <w:family w:val="auto"/>
    <w:pitch w:val="default"/>
    <w:sig w:usb0="0000028F" w:usb1="00000000" w:usb2="00000000" w:usb3="00000000" w:csb0="2000009F" w:csb1="47010000"/>
  </w:font>
  <w:font w:name="方正仿宋_GBK">
    <w:altName w:val="微软雅黑"/>
    <w:panose1 w:val="02000000000000000000"/>
    <w:charset w:val="86"/>
    <w:family w:val="auto"/>
    <w:pitch w:val="default"/>
    <w:sig w:usb0="00000000" w:usb1="00000000" w:usb2="00000000" w:usb3="00000000" w:csb0="00040000" w:csb1="00000000"/>
    <w:embedRegular r:id="rId7" w:fontKey="{01B09617-1474-4A7E-8E5E-FAEDACBE8C14}"/>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E3A4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39BD95">
                          <w:pPr>
                            <w:pStyle w:val="4"/>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39BD95">
                    <w:pPr>
                      <w:pStyle w:val="4"/>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NjcxMWI3Y2VlZWVkMGU4NzM0MDI1MmUzZWM3NTAifQ=="/>
  </w:docVars>
  <w:rsids>
    <w:rsidRoot w:val="00172A27"/>
    <w:rsid w:val="00BE642D"/>
    <w:rsid w:val="01B74797"/>
    <w:rsid w:val="07F95057"/>
    <w:rsid w:val="0B0E6F3B"/>
    <w:rsid w:val="0BF3115D"/>
    <w:rsid w:val="0E66613A"/>
    <w:rsid w:val="119D6D98"/>
    <w:rsid w:val="23BC3453"/>
    <w:rsid w:val="25C8578A"/>
    <w:rsid w:val="272C39B8"/>
    <w:rsid w:val="320436AD"/>
    <w:rsid w:val="35212AED"/>
    <w:rsid w:val="3A59587E"/>
    <w:rsid w:val="3AD725D0"/>
    <w:rsid w:val="3B1A27B6"/>
    <w:rsid w:val="3D8A670D"/>
    <w:rsid w:val="3F7B99F5"/>
    <w:rsid w:val="48EA066C"/>
    <w:rsid w:val="4B31054D"/>
    <w:rsid w:val="4C357059"/>
    <w:rsid w:val="50903205"/>
    <w:rsid w:val="51D13AD5"/>
    <w:rsid w:val="534962DD"/>
    <w:rsid w:val="53570FA5"/>
    <w:rsid w:val="54093EE4"/>
    <w:rsid w:val="57212E09"/>
    <w:rsid w:val="587AE8CB"/>
    <w:rsid w:val="601259E5"/>
    <w:rsid w:val="60AE737D"/>
    <w:rsid w:val="624D0F56"/>
    <w:rsid w:val="679118E5"/>
    <w:rsid w:val="6AD80F64"/>
    <w:rsid w:val="6B2F557C"/>
    <w:rsid w:val="6FD0181C"/>
    <w:rsid w:val="70AA26E9"/>
    <w:rsid w:val="78F55AC8"/>
    <w:rsid w:val="79083885"/>
    <w:rsid w:val="7A317952"/>
    <w:rsid w:val="7ABB5B28"/>
    <w:rsid w:val="7BFEB6E7"/>
    <w:rsid w:val="7F7F5E73"/>
    <w:rsid w:val="CFDB7806"/>
    <w:rsid w:val="DBD78962"/>
    <w:rsid w:val="FB5F971B"/>
    <w:rsid w:val="FF3F97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仿宋_GB2312"/>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next w:val="1"/>
    <w:qFormat/>
    <w:uiPriority w:val="0"/>
    <w:pPr>
      <w:widowControl w:val="0"/>
      <w:jc w:val="center"/>
    </w:pPr>
    <w:rPr>
      <w:rFonts w:ascii="宋体" w:hAnsi="Calibri" w:eastAsia="宋体" w:cs="Times New Roman"/>
      <w:kern w:val="2"/>
      <w:sz w:val="44"/>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_Style 1"/>
    <w:basedOn w:val="1"/>
    <w:qFormat/>
    <w:uiPriority w:val="99"/>
    <w:pPr>
      <w:ind w:firstLine="420" w:firstLineChars="200"/>
    </w:pPr>
  </w:style>
  <w:style w:type="paragraph" w:customStyle="1" w:styleId="10">
    <w:name w:val="_Style 3"/>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2761</Words>
  <Characters>2809</Characters>
  <Lines>0</Lines>
  <Paragraphs>0</Paragraphs>
  <TotalTime>2</TotalTime>
  <ScaleCrop>false</ScaleCrop>
  <LinksUpToDate>false</LinksUpToDate>
  <CharactersWithSpaces>2862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2019-11-28T06:42:00Z</dcterms:created>
  <dc:creator>nxh</dc:creator>
  <cp:lastModifiedBy>GHH</cp:lastModifiedBy>
  <cp:lastPrinted>2024-09-19T03:39:00Z</cp:lastPrinted>
  <dcterms:modified xsi:type="dcterms:W3CDTF">2025-01-15T01:57:42Z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D89551026113AAA08470D566B116E0C3</vt:lpwstr>
  </property>
  <property fmtid="{D5CDD505-2E9C-101B-9397-08002B2CF9AE}" pid="4" name="KSOTemplateDocerSaveRecord">
    <vt:lpwstr>eyJoZGlkIjoiYzdjNDg2MjVhZWI1NWI3MzExNzhhZjY3YWM3OGI5NmMiLCJ1c2VySWQiOiI2MjA1NTMzNzQifQ==</vt:lpwstr>
  </property>
</Properties>
</file>