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A3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福田区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政协六届四次会议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2024039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号提案《关于高质量发展时尚旅游业态，打造</w:t>
      </w:r>
    </w:p>
    <w:p w14:paraId="0755D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世界级文旅消费高地的建议》的回复</w:t>
      </w:r>
    </w:p>
    <w:p w14:paraId="197A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 w14:paraId="687B4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戴迪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委员：</w:t>
      </w:r>
    </w:p>
    <w:p w14:paraId="7B417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您好！您在福田区政协六届四次会议第2024039号提案《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关于高质量发展时尚旅游业态，打造世界级文旅消费高地的建议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》已收悉。首先感谢您对福田区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高质量发展时尚旅游业态，打造世界级文旅消费高地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的关心和重视，所提建议具有重要的参考价值和指导意义，现将办理情况答复如下：</w:t>
      </w:r>
    </w:p>
    <w:p w14:paraId="4E1F1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一、工作开展情况</w:t>
      </w:r>
    </w:p>
    <w:p w14:paraId="7E4311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"/>
        </w:rPr>
        <w:t>一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）创造性推进文旅人工智能化，打造福田的都市知名度和美誉度</w:t>
      </w:r>
    </w:p>
    <w:p w14:paraId="4895F84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2"/>
          <w:sz w:val="32"/>
          <w:szCs w:val="32"/>
          <w:lang w:val="en-US" w:eastAsia="zh-CN" w:bidi="ar"/>
        </w:rPr>
        <w:t>一是构建“320”体系，加速AI应用布局。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福田区制定《福田区全域全时人工智能应用示范实施方案（2023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—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2024年）》，建立“320”的人工智能应用示范体系，“3”指3个体系，包括算力供给体系、数据供给体系和政策保障体系，“20”指20类 AI+应用场景，到2024年底将福田打造成为全域全时人工智能应用示范区。截至6月19日，已落地AI+民意速办、AI+教育、AI+医疗等18类人工智能应用场景，AI+养老、AI+查违正在按计划推进，预计今年11月完成。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同时，福田区正在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探索与大模型技术特点相适应的应用落地方向，计划以AI+政务服务应用场景为突破点，集中力量做深做透，建设政务服务“福务大管家”，实现对外面向群众和企业“高效办成一件事”，对内面向机关工作人员提供“专家级政务助手”。</w:t>
      </w:r>
    </w:p>
    <w:p w14:paraId="1251FE51">
      <w:pPr>
        <w:pStyle w:val="9"/>
        <w:keepNext w:val="0"/>
        <w:keepLines w:val="0"/>
        <w:pageBreakBefore w:val="0"/>
        <w:tabs>
          <w:tab w:val="left" w:pos="3480"/>
        </w:tabs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  <w:lang w:val="en-US" w:eastAsia="zh-CN" w:bidi="ar"/>
        </w:rPr>
        <w:t>二是在体系搭建、技术赋能、场景落地上持续发力，夯实技术基础。</w:t>
      </w:r>
      <w:r>
        <w:rPr>
          <w:rFonts w:hint="eastAsia" w:ascii="仿宋_GB2312" w:hAnsi="仿宋_GB2312" w:eastAsia="仿宋_GB2312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聚焦社会治理和服务的痛点，编制《福田区打造元宇宙应用先行区</w:t>
      </w:r>
      <w:r>
        <w:rPr>
          <w:rFonts w:hint="eastAsia" w:hAnsi="仿宋_GB2312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hAnsi="仿宋_GB2312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_GB2312" w:hAnsi="仿宋_GB2312" w:eastAsia="仿宋_GB2312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hAnsi="仿宋_GB2312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工作方案》</w:t>
      </w:r>
      <w:r>
        <w:rPr>
          <w:rFonts w:hint="eastAsia" w:hAnsi="仿宋_GB2312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dstrike w:val="0"/>
          <w:snapToGrid/>
          <w:w w:val="100"/>
          <w:kern w:val="2"/>
          <w:sz w:val="32"/>
          <w:highlight w:val="none"/>
          <w:u w:val="none"/>
          <w:vertAlign w:val="baseline"/>
          <w:lang w:val="en-US" w:eastAsia="zh-CN"/>
        </w:rPr>
        <w:t>方案分解形成</w:t>
      </w:r>
      <w:r>
        <w:rPr>
          <w:rFonts w:hint="eastAsia" w:hAnsi="仿宋_GB2312" w:cs="仿宋_GB2312"/>
          <w:b w:val="0"/>
          <w:bCs w:val="0"/>
          <w:i w:val="0"/>
          <w:strike w:val="0"/>
          <w:dstrike w:val="0"/>
          <w:snapToGrid/>
          <w:w w:val="100"/>
          <w:kern w:val="2"/>
          <w:sz w:val="32"/>
          <w:highlight w:val="none"/>
          <w:u w:val="none"/>
          <w:vertAlign w:val="baseli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trike w:val="0"/>
          <w:dstrike w:val="0"/>
          <w:snapToGrid/>
          <w:w w:val="100"/>
          <w:kern w:val="2"/>
          <w:sz w:val="32"/>
          <w:highlight w:val="none"/>
          <w:u w:val="none"/>
          <w:vertAlign w:val="baseline"/>
          <w:lang w:val="en-US" w:eastAsia="zh-CN"/>
        </w:rPr>
        <w:t>项</w:t>
      </w:r>
      <w:r>
        <w:rPr>
          <w:rFonts w:hint="eastAsia" w:hAnsi="仿宋_GB2312" w:cs="仿宋_GB2312"/>
          <w:b w:val="0"/>
          <w:bCs w:val="0"/>
          <w:i w:val="0"/>
          <w:strike w:val="0"/>
          <w:dstrike w:val="0"/>
          <w:snapToGrid/>
          <w:w w:val="100"/>
          <w:kern w:val="2"/>
          <w:sz w:val="32"/>
          <w:highlight w:val="none"/>
          <w:u w:val="none"/>
          <w:vertAlign w:val="baseline"/>
          <w:lang w:val="en-US" w:eastAsia="zh-CN"/>
        </w:rPr>
        <w:t>应用场景及对应负责部门</w:t>
      </w:r>
      <w:r>
        <w:rPr>
          <w:rFonts w:hint="eastAsia" w:ascii="仿宋_GB2312" w:hAnsi="仿宋_GB2312" w:eastAsia="仿宋_GB2312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仿宋_GB2312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推动元宇宙在各领域各场景探索落地。</w:t>
      </w:r>
      <w:r>
        <w:rPr>
          <w:rFonts w:hint="eastAsia" w:ascii="仿宋_GB2312" w:hAnsi="仿宋_GB2312" w:eastAsia="仿宋_GB2312" w:cs="楷体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基于福镜CIM数字孪生平台已建设功能</w:t>
      </w:r>
      <w:r>
        <w:rPr>
          <w:rFonts w:hint="eastAsia" w:hAnsi="Calibri" w:cs="仿宋_GB2312"/>
          <w:kern w:val="44"/>
          <w:sz w:val="32"/>
          <w:szCs w:val="32"/>
          <w:lang w:val="en-US" w:eastAsia="zh-CN" w:bidi="ar"/>
        </w:rPr>
        <w:t>。截至目前，已完成节日大道和福田保税区市花路片区地图数据采集和建模。</w:t>
      </w:r>
      <w:r>
        <w:rPr>
          <w:rFonts w:hint="eastAsia" w:ascii="仿宋_GB2312" w:hAnsi="Calibri" w:eastAsia="仿宋_GB2312" w:cs="仿宋_GB2312"/>
          <w:kern w:val="44"/>
          <w:sz w:val="32"/>
          <w:szCs w:val="32"/>
          <w:lang w:val="en-US" w:eastAsia="zh-CN" w:bidi="ar"/>
        </w:rPr>
        <w:t>探索元宇宙技术在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文旅、城市治理等方面多元化融合落地。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比如：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在华强北步行街举办以“穿梭星次元，潮创华强北”为主题的“哔哩哔哩——哔游之地·深圳华强北站活动”，在节日大道开展元宇宙“闹元宵”活动，活动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受到游客热烈欢迎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，增添商圈人气，促进消费</w:t>
      </w: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。</w:t>
      </w:r>
    </w:p>
    <w:p w14:paraId="2D46D3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</w:pP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多举措打造福田中华文化饮食文化遗产旅游品牌。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在节日大道、皇庭广场搭建全景直播间，联动商家开展近50场直播带货活动，包含品牌专场（倍轻松、徐记海鲜、八合里、恩裳、诗篇等）、商圈专场（皇庭广场、水围1368、购物公园等），直播带货总交易额达1.4亿元。举办首届福田美食嘉年华，分别在八卦一路、水围文化广场、卓悦 INTOWN连续举办3场不同主题的美食活动，入驻商家83家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活动吸引了6.5万人流，直接消费达350万元，并带动周边商家消费不同程度的提升。此外，星光市集、萌宠嘉年华等活动效果良好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帮助商家带人气促增长。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同时，我区推出“文旅消费百千万大礼包” 促消费活动，积极联动辖区内酒店、餐饮等规上企业，借助“福田文体通”平台，向广大游客发放文旅消费券，有力地推动了餐饮、酒店、旅游机构的深度融合与合作。</w:t>
      </w:r>
    </w:p>
    <w:p w14:paraId="10ADA8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u w:val="none" w:color="auto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（三）探索“公园+”景点化运营，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开辟公园消费场景</w:t>
      </w:r>
    </w:p>
    <w:p w14:paraId="459CDC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福田区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围绕“食遇+文润+乐享”三个维度，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打造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轻餐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书香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休闲三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消费场景，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探索“公园+”景点化运营，推进公园经济高质量发展。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自今年5月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以来，香蜜公园、中心公园、儿童乐园、皇岗公园、梅林公园、彩田公园等6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区管市政公园吸引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游客逾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150万人次。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  <w:lang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  <w:lang w:val="en-US" w:eastAsia="zh-CN"/>
        </w:rPr>
        <w:t>以轻食打造“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</w:rPr>
        <w:t>食遇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  <w:lang w:val="en-US" w:eastAsia="zh-CN"/>
        </w:rPr>
        <w:t>公园”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KFC移动餐车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711移动餐车7辆，设置自动售卖咖啡机、果汁机、饮品机48台，实现公园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移动轻餐食服务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全覆盖，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平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均销售额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达25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。其中，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在香蜜公园开设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园外、哈圃花园两家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网红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咖啡店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吸引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小红薯”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抖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友”浏览点赞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超20万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，单日最高打卡人数超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  <w:lang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  <w:lang w:val="en-US" w:eastAsia="zh-CN"/>
        </w:rPr>
        <w:t>以书香熏染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</w:rPr>
        <w:t>“文润公园”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联合福田图书馆在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各公园内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开展翻转绘本讲读、手工童趣会、国韵声声等儿童阅读活动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余场，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开设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自然教育、草地音乐会、露天电影、手绘夏令营等系列暑期文化活动30余场，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吸引参与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人数超4000人。其中，在香蜜公园开设全市首个“玫瑰书屋”，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自5月20日运营以来，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开展月季系列活动近百场，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吸引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超3000名来自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全国各地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玫瑰忠粉慕名打卡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  <w:lang w:eastAsia="zh-CN"/>
        </w:rPr>
        <w:t>三是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  <w:lang w:val="en-US" w:eastAsia="zh-CN"/>
        </w:rPr>
        <w:t>以休闲激活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</w:rPr>
        <w:t>“乐享公园”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 w:color="auto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各公园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分别设置篮球场、足球场、网球场、羽毛球场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乒乓球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球类运动场所，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各类球类运动爱好者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提供沉浸式体验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，日均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场地使用收入超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2万元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。其中，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在中心公园引入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最大的充气城堡和充气水乐园，单日游玩人数最高超1000人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在香蜜公园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探索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“露营+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商业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”试点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开创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“露营+音乐节+电影+研学+市集”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复合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业态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消费场景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，单日游客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突破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3000人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val="en-US" w:eastAsia="zh-CN"/>
        </w:rPr>
        <w:t>次、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</w:rPr>
        <w:t>营业额最高超2万元</w:t>
      </w:r>
      <w:r>
        <w:rPr>
          <w:rFonts w:hint="eastAsia" w:ascii="仿宋_GB2312" w:hAnsi="仿宋_GB2312" w:eastAsia="仿宋_GB2312" w:cs="仿宋_GB2312"/>
          <w:sz w:val="32"/>
          <w:szCs w:val="32"/>
          <w:u w:val="none" w:color="auto"/>
          <w:lang w:eastAsia="zh-CN"/>
        </w:rPr>
        <w:t>。</w:t>
      </w:r>
    </w:p>
    <w:p w14:paraId="5D90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二、下一步工作思路</w:t>
      </w:r>
    </w:p>
    <w:p w14:paraId="1846C6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（一）持续升级打造节日大道。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构建“网红大道”“艺术大道”“消费大道”“创新大道”打造节日大道3.0版。一是牵头相关单位推动街区软硬件微改造，达成“夜色更靓，街区更美”。二是开展高品质文化艺术活动增强街区文化内核，以中华传统节日文化为核心，“一个主题”串联全年，N场活动“众星拱月”，打造“世界人民节日朝圣地”。三是深度推进文化融合行动，联动出台政策，激励商圈引进首展和首店，打造深圳节日大道文商旅融合体。四是创新机制，充分发挥政府资源配置优势，撬动社会力量专业优势，激发商家创富立业动能，构建高效便捷的沟通协调联动机制，合力推动深圳节日大道高质量发展。</w:t>
      </w:r>
    </w:p>
    <w:p w14:paraId="1A9B6E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（二）打造华强北街区文旅产业消费标杆。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联合各单位，围绕四季不同特色，月月不同主题，周周不同特点，品牌化组织大型节点活动，常态化组织中型系列活动，不间断组织小型特色活动，进一步夯实华强北主街特色时尚、科技、文化活动体系。二是进一步加快文旅产业、商业载体资源导入，打造中心城区具有文化氛围的开放式商业街区。</w:t>
      </w:r>
    </w:p>
    <w:p w14:paraId="5448A78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left"/>
        <w:textAlignment w:val="auto"/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（三）打造福田都市型沉浸式全域旅游示范区。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在华为“盘古大模型”的基础上，继续丰富“人工智能+”应用场景，探索人工智能时代新用工模式，赋能旅游业，释放出更大能量，助力开辟发展新领域新赛道，不断塑造发展新动能新优势。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二是建立多层次的线路体系。加强与小红书、大众点评、抖音等社交平台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合作，开发多样化中华文化美食旅游线路，为游客提供多元选择。发布</w:t>
      </w:r>
      <w:r>
        <w:rPr>
          <w:rFonts w:hint="default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2024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年版《福田旅游指南》，增加新荣记、嘉苑饭店、珍庭潮州菜、小炳胜等多个特色餐厅详细推荐，通过旅游指南的推荐，将为这些餐厅有效引流，大幅提高餐厅的知名度。</w:t>
      </w:r>
    </w:p>
    <w:p w14:paraId="1CD725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（四）加推政策支持引导文旅场所提升国际化品质。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我区正在研究加推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《深圳市福田区支持文旅产业高质量发展若干措施》，内容涵盖四条旅游促消费措施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。其中“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提升文旅消费环境国际化品质支持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”明确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福田区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旅游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景点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景区、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住宿业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酒店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文化场所、体育场馆等市场主体，新建或提升多语种旅游咨询区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（台）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、多语种标识标牌系统、行李寄存设备等国际化、便利化、多语种消费服务设施，按照设施设备投入的30%，给予最高20万元奖励。</w:t>
      </w:r>
    </w:p>
    <w:p w14:paraId="762650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特此回复。</w:t>
      </w:r>
    </w:p>
    <w:p w14:paraId="42AC8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B496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794F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福田区文化广电旅游体育局</w:t>
      </w:r>
    </w:p>
    <w:p w14:paraId="5746C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2024年9月20日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EF90DD-B7A0-4458-8299-C31483DCB0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5E166A-8AA8-4484-B9ED-3CBE0C0A6F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A95ED1B-80BB-43E3-AC05-F71EB95AB9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96C3EEC-DC53-4AAA-8B75-6D937E41621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ED5B2EF0-90BD-40A9-B0EA-42B3DBBF8B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1AD4319-1F5C-4ED3-BA62-C25CC034E57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7BA40CF-200C-41EA-A11F-FB191003847B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8" w:fontKey="{7397F27C-180B-4CD4-859E-28DD645A92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DED1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33EE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33EE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jcxMWI3Y2VlZWVkMGU4NzM0MDI1MmUzZWM3NTAifQ=="/>
  </w:docVars>
  <w:rsids>
    <w:rsidRoot w:val="00172A27"/>
    <w:rsid w:val="00BE642D"/>
    <w:rsid w:val="07F95057"/>
    <w:rsid w:val="0B0E6F3B"/>
    <w:rsid w:val="0BF3115D"/>
    <w:rsid w:val="0E66613A"/>
    <w:rsid w:val="1A9568C0"/>
    <w:rsid w:val="23BC3453"/>
    <w:rsid w:val="25C8578A"/>
    <w:rsid w:val="272C39B8"/>
    <w:rsid w:val="320436AD"/>
    <w:rsid w:val="35212AED"/>
    <w:rsid w:val="3A59587E"/>
    <w:rsid w:val="3B1A27B6"/>
    <w:rsid w:val="3D8A670D"/>
    <w:rsid w:val="3FAFD55E"/>
    <w:rsid w:val="48EA066C"/>
    <w:rsid w:val="4B31054D"/>
    <w:rsid w:val="4FE4D55A"/>
    <w:rsid w:val="50903205"/>
    <w:rsid w:val="51D13AD5"/>
    <w:rsid w:val="52353264"/>
    <w:rsid w:val="534962DD"/>
    <w:rsid w:val="53570FA5"/>
    <w:rsid w:val="54093EE4"/>
    <w:rsid w:val="57212E09"/>
    <w:rsid w:val="5FB3BC49"/>
    <w:rsid w:val="601259E5"/>
    <w:rsid w:val="60AE737D"/>
    <w:rsid w:val="624D0F56"/>
    <w:rsid w:val="62A73E48"/>
    <w:rsid w:val="679118E5"/>
    <w:rsid w:val="69111433"/>
    <w:rsid w:val="6AD80F64"/>
    <w:rsid w:val="6B2F557C"/>
    <w:rsid w:val="6FD0181C"/>
    <w:rsid w:val="70AA26E9"/>
    <w:rsid w:val="75BF4B19"/>
    <w:rsid w:val="77F11D16"/>
    <w:rsid w:val="78F55AC8"/>
    <w:rsid w:val="79083885"/>
    <w:rsid w:val="7A317952"/>
    <w:rsid w:val="7EBFC3A0"/>
    <w:rsid w:val="7EFF2B42"/>
    <w:rsid w:val="7FFD3FE9"/>
    <w:rsid w:val="97CB712B"/>
    <w:rsid w:val="9EFD9F19"/>
    <w:rsid w:val="BF959C3C"/>
    <w:rsid w:val="BFDD3C3D"/>
    <w:rsid w:val="FFFF0F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center"/>
      <w:outlineLvl w:val="0"/>
    </w:pPr>
    <w:rPr>
      <w:rFonts w:hint="eastAsia" w:ascii="宋体" w:hAnsi="宋体" w:eastAsia="方正小标宋简体"/>
      <w:kern w:val="44"/>
      <w:sz w:val="44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p17"/>
    <w:qFormat/>
    <w:uiPriority w:val="0"/>
    <w:pPr>
      <w:widowControl/>
      <w:ind w:firstLine="630"/>
      <w:jc w:val="both"/>
    </w:pPr>
    <w:rPr>
      <w:rFonts w:ascii="仿宋_GB2312" w:hAnsi="宋体" w:eastAsia="仿宋_GB2312" w:cs="宋体"/>
      <w:kern w:val="0"/>
      <w:sz w:val="32"/>
      <w:szCs w:val="32"/>
      <w:lang w:val="en-US" w:eastAsia="zh-CN" w:bidi="ar-SA"/>
    </w:rPr>
  </w:style>
  <w:style w:type="paragraph" w:customStyle="1" w:styleId="10">
    <w:name w:val="Heading1"/>
    <w:basedOn w:val="1"/>
    <w:next w:val="1"/>
    <w:qFormat/>
    <w:uiPriority w:val="0"/>
    <w:pPr>
      <w:keepNext/>
      <w:keepLines/>
      <w:spacing w:before="340" w:after="330" w:line="578" w:lineRule="auto"/>
    </w:pPr>
    <w:rPr>
      <w:rFonts w:ascii="Calibri" w:hAnsi="Calibri" w:eastAsia="宋体"/>
      <w:b/>
      <w:kern w:val="44"/>
      <w:sz w:val="44"/>
    </w:rPr>
  </w:style>
  <w:style w:type="paragraph" w:customStyle="1" w:styleId="11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2677</Words>
  <Characters>2786</Characters>
  <Lines>0</Lines>
  <Paragraphs>0</Paragraphs>
  <TotalTime>2</TotalTime>
  <ScaleCrop>false</ScaleCrop>
  <LinksUpToDate>false</LinksUpToDate>
  <CharactersWithSpaces>2842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2019-11-28T22:42:00Z</dcterms:created>
  <dc:creator>nxh</dc:creator>
  <cp:lastModifiedBy>GHH</cp:lastModifiedBy>
  <dcterms:modified xsi:type="dcterms:W3CDTF">2025-01-15T01:49:48Z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6D1412A04D1FE2780CDA8467E6D24D15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