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A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政协六届四次会议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2024010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号提案《关于打造福田国际旅游消费中心</w:t>
      </w:r>
    </w:p>
    <w:p w14:paraId="1771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的建议》的回复</w:t>
      </w:r>
    </w:p>
    <w:p w14:paraId="2B51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5467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尊敬的莫宏霞等委员：</w:t>
      </w:r>
    </w:p>
    <w:p w14:paraId="7E2A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2024010号提案《关于打造福田国际旅游消费中心的建议》已收悉。首先感谢您对福田区打造福田国际旅游消费中心的关心和重视，所提建议具有重要的参考价值和指导意义，现将办理情况答复如下：</w:t>
      </w:r>
    </w:p>
    <w:p w14:paraId="1D70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</w:p>
    <w:p w14:paraId="1EC3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（一）宣文旅商联动，实现流量变现</w:t>
      </w:r>
    </w:p>
    <w:p w14:paraId="5EDC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我区提出“</w:t>
      </w:r>
      <w:r>
        <w:rPr>
          <w:rFonts w:hint="eastAsia" w:ascii="仿宋_GB2312" w:eastAsia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以文引流、以旅导流，以宣推流，以商</w:t>
      </w:r>
      <w:r>
        <w:rPr>
          <w:rFonts w:hint="eastAsia" w:ascii="仿宋_GB2312" w:eastAsia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圈实现流量‘变现’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”的宣文旅商联动机制，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把文化作为城市的“引流器”，推动各类文化空间、文化活动、文艺作品融入主要商圈，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-SA"/>
        </w:rPr>
        <w:t>把旅游资源作为留住流量的“磁极”，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把实体商业作为文旅流量变现的“通道”，把宣传推广作为提升实体商业影响力和辐射力的“关键一招”，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通过交叉赋能推动文旅促消费。今年上半年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接待游客1182.12万人次（一季度489.21万，二季度692.91万，一季度环比增长41.64%），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以全市4%的面积，实现了全市近1/5的游客数量、游客消费规模。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们把握每个节庆节点，全市首创“重点活动”+“聚客行动”+“商圈促销”+“数据统计”的节假日文旅促消费机制，今年以来推出“龙宝福狮庆新春大巡游”“粤港澳龙舟邀请赛”“观唐·悦赏－唐代服饰艺术再现”等精品活动，并将商圈、酒店、线路融入活动，仅节假日期间即吸引人流1500万人次（含本地客源），带动消费超10亿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五一期间，各类媒体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推送福田游玩消费攻略曝光量超1000万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，推文及视频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冲上热榜，扩大了福田旅游影响力，带动了商圈消费。</w:t>
      </w:r>
    </w:p>
    <w:p w14:paraId="6D50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（二）强化同中国旅游研究院合作，打造福田都市旅游新发展格局</w:t>
      </w:r>
    </w:p>
    <w:p w14:paraId="20430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今年初，我区与中国旅游研究院正式签订合作协议，建立长期稳定的合作关系，共同参与福田都市旅游的重大课题研究，为福田旅游规划提供权威性和前瞻性的指导。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完善节日旅游数据监测收集机制，实现福田旅游数据监测“0”的突破。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今年以来，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通过同中国旅游研究院合作，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我局持续不断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lang w:val="en-US" w:eastAsia="zh-CN" w:bidi="ar-SA"/>
        </w:rPr>
        <w:t>完善节假日旅游数据监测收集机制，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了解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我区旅游市场的真实情况及相关需求、趋势等，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建立完善旅游数据统计机制，成立数据监测专班，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在节假日期间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每天定时报送数据清单，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对旅游活动进行全面、系统的监测和研究，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形成相关分析报告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供政府参考决策，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为推动我区发展假日旅游、保障旅游市场平稳有序发展提供有效建议。</w:t>
      </w:r>
    </w:p>
    <w:p w14:paraId="0A3B6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二是举办中国夜间经济成果发布活动，推动福田夜间旅游领域的突破和发展。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中国夜间经济成果发布活动是经文化和旅游部批准，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中国旅游研究院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目前中国夜间经济领域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最高层、最权威、最有影响力的品牌活动。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推动福田旅游业高质量发展，加快构建“近悦远来，主客共享”的都市旅游格局，链接国内顶级夜间经济资源，谋求我区在夜间旅游领域的突破和发展，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半年来，我区积极对接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中国旅游研究院，洽谈活动方案、落地路径等相关事宜，目前已达成将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2024年活动落户福田区的意向，并受到省文旅厅、市文广旅体局的关注和支持，活动计划于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2024年11月举办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E8A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（三）提升旅游服务质量，营造福田区国际旅游中心氛围</w:t>
      </w:r>
    </w:p>
    <w:p w14:paraId="6C1DD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一是加推政策支持引导文旅场所提升国际化品质。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我区正在研究加推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《深圳市福田区支持文旅产业高质量发展若干措施》，内容涵盖四条旅游促消费措施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提升文旅消费环境国际化品质支持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”明确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福田区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旅游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景点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景区、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住宿业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酒店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文化场所、体育场馆等市场主体，新建或提升多语种旅游咨询区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（台）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、多语种标识标牌系统、行李寄存设备等国际化、便利化、多语种消费服务设施，按照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公共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设施设备投入的30%，给予最高20万元奖励。</w:t>
      </w:r>
    </w:p>
    <w:p w14:paraId="11DE4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3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二是提升语言国际化环境建设和服务。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福田区开展一系列工作提升国际化环境建设及服务。牵头开展6轮外文公示语排查纠错行动，覆盖全区10个街道内政府部门办公场所、政务服务场所、公共交通枢纽、医疗机构、文体场馆、商圈等约3.8万处公共场所外文标识。其中，针对皇岗口岸、福田口岸、福田高铁站等重点区域开展了2轮专项排查。与区商务局共同推动5大商圈和“安心餐厅”门店“双语菜单”覆盖率均达90%以上，已覆盖500余个商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聚焦机场、口岸、高铁等外籍人士“落地首站”，设置外国人服务点摆放双语宣传材料、扩大外语标识服务面、提高周边商圈“双语菜单”覆盖率，在福田区打造全市一批示范点。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二、下一步工作思路</w:t>
      </w:r>
    </w:p>
    <w:p w14:paraId="3A51B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（一）持续升级打造节日大道。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构建“网红大道”“艺术大道”“消费大道”“创新大道”打造节日大道3.0版。一是牵头相关单位推动街区软硬件微改造，达成“夜色更靓，街区更美”。二是开展高品质文化艺术活动增强街区文化内核，以中华传统节日文化为核心，“一个主题”串联全年，N场活动“众星拱月”，打造“世界人民节日朝圣地”。三是深度推进文化融合行动，联动出台政策，激励商圈引进首展和首店，打造深圳节日大道文商旅融合体。四是创新机制，充分发挥政府资源配置优势，撬动社会力量专业优势，激发商家创富立业动能，构建高效便捷的沟通协调联动机制，合力推动深圳节日大道高质量发展。</w:t>
      </w:r>
    </w:p>
    <w:p w14:paraId="3F5C6A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（二）打造华强北街区文旅产业消费标杆。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联合各单位，围绕四季不同特色，月月不同主题，周周不同特点，品牌化组织大型节点活动，常态化组织中型系列活动，不间断组织小型特色活动，进一步夯实华强北主街特色时尚、科技、文化活动体系。二是进一步加快文旅产业、商业载体资源导入，打造中心城区具有文化氛围的开放式商业街区。</w:t>
      </w:r>
    </w:p>
    <w:p w14:paraId="69B926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（三）打造福田都市型沉浸式全域旅游示范区。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进一步整合全区文旅资源。搭建政企交流平台，强化旅游行业企业间沟通，建设福田旅游小程序，通过线上线下平台整合全区各类资源开展旅游推介，建立常态化的文旅商资讯发布推介机制，持续拉动旅游热度。二是旅游亮点特色产品再提升。联动红胖子巴士，串联华强北、中心公园等辖区内标志性景点，推出具有福田特色的联动游套票等旅游产品。三是建立多层次的线路体系。加强与小红书、大众点评、抖音等社交平台合作，开发多样化旅游线路，为游客提供多元选择。发动旅行社结合市场需求，推出亲子游、红色游、研学游、商务游等，积极打造福田都市旅游品牌，全面提升福田旅游综合竞争力。</w:t>
      </w:r>
    </w:p>
    <w:p w14:paraId="67167A4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（四）打造游客服务中心。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在福田口岸、皇岗口岸、福田高铁站等外籍游客“来深第一站”打造游客服务中心，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以此为依托开辟福田旅游宣传新阵地，同时为旅客提供多语种旅游咨询和指引等服务，持续完善福田旅游公共服务设施建设，强化福田入境旅游氛围营造。</w:t>
      </w:r>
    </w:p>
    <w:p w14:paraId="12FB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814217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A0AC8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5FA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3D96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2024年9月20日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0DE4E6-F79E-4905-B488-7A70786CB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5A2FEF-F176-4A6A-BAC2-1BCBB0F34AA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8FD143-0334-404D-BDD2-C949FE2D6B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D54F439-0AB7-49FD-9F79-FAC82DB5DF3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A2A659-E54A-4C7A-AD28-FDCF33C22BF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4D04EB7F-BBCA-477F-874F-1F6B04D65A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04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F9A0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F9A0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B0E6F3B"/>
    <w:rsid w:val="0BF3115D"/>
    <w:rsid w:val="0E66613A"/>
    <w:rsid w:val="17D4040A"/>
    <w:rsid w:val="1CFD3E98"/>
    <w:rsid w:val="23BC3453"/>
    <w:rsid w:val="247B4ED4"/>
    <w:rsid w:val="25C8578A"/>
    <w:rsid w:val="272C39B8"/>
    <w:rsid w:val="2B8B76FF"/>
    <w:rsid w:val="2C94347C"/>
    <w:rsid w:val="2CFB000E"/>
    <w:rsid w:val="3116482F"/>
    <w:rsid w:val="320436AD"/>
    <w:rsid w:val="35212AED"/>
    <w:rsid w:val="3A59587E"/>
    <w:rsid w:val="3AB70D14"/>
    <w:rsid w:val="3B1A27B6"/>
    <w:rsid w:val="3D8A670D"/>
    <w:rsid w:val="48EA066C"/>
    <w:rsid w:val="4B31054D"/>
    <w:rsid w:val="4DFF9652"/>
    <w:rsid w:val="4EF7C04B"/>
    <w:rsid w:val="4F530FE2"/>
    <w:rsid w:val="50903205"/>
    <w:rsid w:val="51D13AD5"/>
    <w:rsid w:val="534962DD"/>
    <w:rsid w:val="53570FA5"/>
    <w:rsid w:val="54093EE4"/>
    <w:rsid w:val="57212E09"/>
    <w:rsid w:val="601259E5"/>
    <w:rsid w:val="60AE737D"/>
    <w:rsid w:val="61E00BDD"/>
    <w:rsid w:val="624D0F56"/>
    <w:rsid w:val="679118E5"/>
    <w:rsid w:val="6AD80F64"/>
    <w:rsid w:val="6B2F557C"/>
    <w:rsid w:val="6FD0181C"/>
    <w:rsid w:val="70AA26E9"/>
    <w:rsid w:val="75F54893"/>
    <w:rsid w:val="78F55AC8"/>
    <w:rsid w:val="79083885"/>
    <w:rsid w:val="7A317952"/>
    <w:rsid w:val="7BEFBB7F"/>
    <w:rsid w:val="7DD71546"/>
    <w:rsid w:val="AFFD92DB"/>
    <w:rsid w:val="DB7BEE56"/>
    <w:rsid w:val="DFDE7FC4"/>
    <w:rsid w:val="F5EF69AA"/>
    <w:rsid w:val="F8FD69F0"/>
    <w:rsid w:val="FBB704F1"/>
    <w:rsid w:val="FD4F4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jc w:val="center"/>
    </w:pPr>
    <w:rPr>
      <w:rFonts w:ascii="宋体" w:hAnsi="Calibri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p17"/>
    <w:qFormat/>
    <w:uiPriority w:val="0"/>
    <w:pPr>
      <w:widowControl/>
      <w:ind w:firstLine="63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paragraph" w:customStyle="1" w:styleId="11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</w:rPr>
  </w:style>
  <w:style w:type="paragraph" w:customStyle="1" w:styleId="12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2534</Words>
  <Characters>2603</Characters>
  <Lines>0</Lines>
  <Paragraphs>0</Paragraphs>
  <TotalTime>14</TotalTime>
  <ScaleCrop>false</ScaleCrop>
  <LinksUpToDate>false</LinksUpToDate>
  <CharactersWithSpaces>2665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2019-11-28T14:42:00Z</dcterms:created>
  <dc:creator>nxh</dc:creator>
  <cp:lastModifiedBy>GHH</cp:lastModifiedBy>
  <dcterms:modified xsi:type="dcterms:W3CDTF">2025-01-16T07:36:51Z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73436CCB89C3A08AF2E48467F83960AA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