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23A17">
      <w:pPr>
        <w:bidi w:val="0"/>
        <w:jc w:val="left"/>
        <w:rPr>
          <w:rFonts w:ascii="黑体" w:hAnsi="黑体" w:eastAsia="黑体" w:cs="黑体"/>
          <w:sz w:val="32"/>
          <w:szCs w:val="32"/>
        </w:rPr>
      </w:pPr>
      <w:bookmarkStart w:id="0" w:name="_GoBack"/>
      <w:bookmarkEnd w:id="0"/>
      <w:r>
        <w:rPr>
          <w:rFonts w:ascii="黑体" w:hAnsi="黑体" w:eastAsia="黑体" w:cs="黑体"/>
          <w:sz w:val="32"/>
          <w:szCs w:val="32"/>
        </w:rPr>
        <w:t>附件</w:t>
      </w:r>
      <w:r>
        <w:rPr>
          <w:rFonts w:hint="eastAsia" w:ascii="黑体" w:hAnsi="黑体" w:eastAsia="黑体" w:cs="黑体"/>
          <w:sz w:val="32"/>
          <w:szCs w:val="32"/>
          <w:lang w:eastAsia="zh-CN"/>
        </w:rPr>
        <w:t>1</w:t>
      </w:r>
    </w:p>
    <w:p w14:paraId="624FF066">
      <w:pPr>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专业服务机构范围</w:t>
      </w:r>
    </w:p>
    <w:p w14:paraId="37F6FD22">
      <w:pPr>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14:paraId="097623D2">
      <w:pPr>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（一）工商财税：为企业提供财务审计、税务审计、财务以及税务、工商信息变更等相关的咨询服务。</w:t>
      </w:r>
    </w:p>
    <w:p w14:paraId="541C649E">
      <w:pPr>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（二）人才与培训：人才招聘，高端人才引进，高端人才猎头服务等人力服务；为企业客户提供整体人力资源解决方案等人力咨询服务；提升企业运营管理水平和企业家能力的高端培训服务。</w:t>
      </w:r>
    </w:p>
    <w:p w14:paraId="72B90A9F">
      <w:pPr>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（三）知识产权：专利、商标、版权、软件，集成电路布图设计，技术秘密，地理标志等各类知识产权的代理、转让、登记、鉴定、检索、分析、咨询、评信、运营、认证、交易等服务。</w:t>
      </w:r>
    </w:p>
    <w:p w14:paraId="2DAFC928">
      <w:pPr>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（四）出海服务：包括但不限于为企业提供出海咨询、新媒体推广、网络营销推广、定制化出海方案等</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及为中小企业拓宽海外市场渠道、参与国内外经济技术交流与推介、参加国内省部级或国际展览展示活动，特别是拓宽国际市场渠道等。</w:t>
      </w:r>
    </w:p>
    <w:p w14:paraId="625C1F4E">
      <w:pPr>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（五）软件服务：面向企业的生产、管理、营销等方面提供软件（程序）开发及lass、PaSS、SaaS等云服务；企业ERP等信息化系统建设，企业IT服务外包和信息化技术咨询等服务。</w:t>
      </w:r>
    </w:p>
    <w:p w14:paraId="08F7A3B0">
      <w:pPr>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（六）科技创新：包括技术咨询、技术开发、技术转让、技术服务和工业设计等技术创新服务，以及工业大数据分析、智能制造技术咨询、快速成型、敏捷制造、产学研联合等智能制造技术服务。</w:t>
      </w:r>
    </w:p>
    <w:p w14:paraId="50DCA6E0">
      <w:pPr>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（七）项目前期服务：包括但不限于创新成果评估、试验、检验检测、开发服务、项目造价、可行性研究报告等。</w:t>
      </w:r>
    </w:p>
    <w:p w14:paraId="187E858A">
      <w:pPr>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（八）法律服务：提供法律咨询、文书审核、合同文书范本下载等服务，并开展相关服务活动。</w:t>
      </w:r>
    </w:p>
    <w:p w14:paraId="3951572C">
      <w:pPr>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九）中小企业创新创业发展所需要的其他服务。例如管理咨询：数字化赋能：包括但不限于数字化、网络化、智能化诊断咨询服务；上云用云服务：包括但不限于在研发设计、生产制造方面提供上云用云解决方案；上市培育服务：包括但不限于为企业提供上市辅导、融资信息对接等服务等。</w:t>
      </w:r>
    </w:p>
    <w:p w14:paraId="64CBFAE3">
      <w:pPr>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32"/>
          <w:szCs w:val="32"/>
        </w:rPr>
      </w:pPr>
    </w:p>
    <w:p w14:paraId="5A774412">
      <w:pPr>
        <w:pStyle w:val="2"/>
        <w:keepLines w:val="0"/>
        <w:pageBreakBefore w:val="0"/>
        <w:kinsoku/>
        <w:wordWrap/>
        <w:overflowPunct/>
        <w:topLinePunct w:val="0"/>
        <w:autoSpaceDE/>
        <w:autoSpaceDN/>
        <w:bidi w:val="0"/>
        <w:adjustRightInd/>
        <w:snapToGrid/>
        <w:spacing w:line="560" w:lineRule="exact"/>
        <w:ind w:left="5040" w:leftChars="2400"/>
        <w:jc w:val="left"/>
        <w:rPr>
          <w:rFonts w:eastAsia="宋体" w:cs="Times New Roman"/>
        </w:rPr>
      </w:pPr>
    </w:p>
    <w:p w14:paraId="66C2271A">
      <w:pPr>
        <w:keepLines w:val="0"/>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color w:val="060607"/>
          <w:spacing w:val="4"/>
          <w:kern w:val="0"/>
          <w:sz w:val="32"/>
          <w:szCs w:val="32"/>
        </w:rPr>
      </w:pPr>
    </w:p>
    <w:p w14:paraId="02DAB43E">
      <w:pPr>
        <w:pStyle w:val="3"/>
        <w:keepLines w:val="0"/>
        <w:pageBreakBefore w:val="0"/>
        <w:kinsoku/>
        <w:wordWrap/>
        <w:overflowPunct/>
        <w:topLinePunct w:val="0"/>
        <w:autoSpaceDE/>
        <w:autoSpaceDN/>
        <w:bidi w:val="0"/>
        <w:adjustRightInd/>
        <w:snapToGrid/>
        <w:spacing w:line="560" w:lineRule="exact"/>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br w:type="page"/>
      </w:r>
      <w:r>
        <w:rPr>
          <w:rFonts w:hint="eastAsia" w:ascii="黑体" w:hAnsi="黑体" w:eastAsia="黑体" w:cs="黑体"/>
          <w:b w:val="0"/>
          <w:bCs w:val="0"/>
          <w:color w:val="000000"/>
          <w:kern w:val="0"/>
          <w:sz w:val="32"/>
          <w:szCs w:val="32"/>
        </w:rPr>
        <w:t>附件2</w:t>
      </w:r>
    </w:p>
    <w:tbl>
      <w:tblPr>
        <w:tblStyle w:val="8"/>
        <w:tblpPr w:leftFromText="180" w:rightFromText="180" w:vertAnchor="text" w:horzAnchor="page" w:tblpX="913" w:tblpY="271"/>
        <w:tblOverlap w:val="never"/>
        <w:tblW w:w="10109" w:type="dxa"/>
        <w:tblInd w:w="0" w:type="dxa"/>
        <w:tblLayout w:type="fixed"/>
        <w:tblCellMar>
          <w:top w:w="0" w:type="dxa"/>
          <w:left w:w="108" w:type="dxa"/>
          <w:bottom w:w="0" w:type="dxa"/>
          <w:right w:w="108" w:type="dxa"/>
        </w:tblCellMar>
      </w:tblPr>
      <w:tblGrid>
        <w:gridCol w:w="1613"/>
        <w:gridCol w:w="1187"/>
        <w:gridCol w:w="1433"/>
        <w:gridCol w:w="1880"/>
        <w:gridCol w:w="3996"/>
      </w:tblGrid>
      <w:tr w14:paraId="51973B41">
        <w:trPr>
          <w:cantSplit/>
          <w:trHeight w:val="1012" w:hRule="atLeast"/>
        </w:trPr>
        <w:tc>
          <w:tcPr>
            <w:tcW w:w="10109" w:type="dxa"/>
            <w:gridSpan w:val="5"/>
            <w:tcBorders>
              <w:top w:val="nil"/>
              <w:left w:val="nil"/>
              <w:bottom w:val="single" w:color="auto" w:sz="4" w:space="0"/>
              <w:right w:val="nil"/>
            </w:tcBorders>
            <w:noWrap w:val="0"/>
            <w:vAlign w:val="center"/>
          </w:tcPr>
          <w:p w14:paraId="1385FDE4">
            <w:pPr>
              <w:keepLines w:val="0"/>
              <w:pageBreakBefore w:val="0"/>
              <w:widowControl/>
              <w:shd w:val="clear" w:color="auto" w:fill="FFFFFF"/>
              <w:kinsoku/>
              <w:wordWrap/>
              <w:overflowPunct/>
              <w:topLinePunct w:val="0"/>
              <w:autoSpaceDE/>
              <w:autoSpaceDN/>
              <w:bidi w:val="0"/>
              <w:adjustRightInd/>
              <w:snapToGrid/>
              <w:spacing w:line="560" w:lineRule="exact"/>
              <w:ind w:right="0"/>
              <w:jc w:val="center"/>
              <w:rPr>
                <w:rFonts w:ascii="仿宋" w:hAnsi="仿宋" w:eastAsia="仿宋" w:cs="仿宋"/>
                <w:bCs/>
                <w:color w:val="000000"/>
                <w:kern w:val="0"/>
                <w:sz w:val="28"/>
                <w:szCs w:val="28"/>
              </w:rPr>
            </w:pPr>
            <w:r>
              <w:rPr>
                <w:rFonts w:hint="eastAsia" w:ascii="方正小标宋简体" w:hAnsi="方正小标宋简体" w:eastAsia="方正小标宋简体" w:cs="方正小标宋简体"/>
                <w:color w:val="000000"/>
                <w:kern w:val="0"/>
                <w:sz w:val="44"/>
                <w:szCs w:val="44"/>
              </w:rPr>
              <w:t>中介机构入驻申请表</w:t>
            </w:r>
          </w:p>
        </w:tc>
      </w:tr>
      <w:tr w14:paraId="225D502F">
        <w:tblPrEx>
          <w:tblCellMar>
            <w:top w:w="0" w:type="dxa"/>
            <w:left w:w="108" w:type="dxa"/>
            <w:bottom w:w="0" w:type="dxa"/>
            <w:right w:w="108" w:type="dxa"/>
          </w:tblCellMar>
        </w:tblPrEx>
        <w:trPr>
          <w:cantSplit/>
          <w:trHeight w:val="841"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14:paraId="59631A2B">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机构名称</w:t>
            </w:r>
          </w:p>
        </w:tc>
        <w:tc>
          <w:tcPr>
            <w:tcW w:w="8496" w:type="dxa"/>
            <w:gridSpan w:val="4"/>
            <w:tcBorders>
              <w:top w:val="single" w:color="auto" w:sz="4" w:space="0"/>
              <w:left w:val="single" w:color="auto" w:sz="4" w:space="0"/>
              <w:bottom w:val="single" w:color="auto" w:sz="4" w:space="0"/>
              <w:right w:val="single" w:color="auto" w:sz="4" w:space="0"/>
            </w:tcBorders>
            <w:noWrap w:val="0"/>
            <w:vAlign w:val="center"/>
          </w:tcPr>
          <w:p w14:paraId="0E1BA56D">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p>
        </w:tc>
      </w:tr>
      <w:tr w14:paraId="412DE83A">
        <w:tblPrEx>
          <w:tblCellMar>
            <w:top w:w="0" w:type="dxa"/>
            <w:left w:w="108" w:type="dxa"/>
            <w:bottom w:w="0" w:type="dxa"/>
            <w:right w:w="108" w:type="dxa"/>
          </w:tblCellMar>
        </w:tblPrEx>
        <w:trPr>
          <w:cantSplit/>
          <w:trHeight w:val="852"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14:paraId="2FD46D13">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办公</w:t>
            </w:r>
          </w:p>
          <w:p w14:paraId="5875E65E">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地址</w:t>
            </w:r>
          </w:p>
        </w:tc>
        <w:tc>
          <w:tcPr>
            <w:tcW w:w="2620" w:type="dxa"/>
            <w:gridSpan w:val="2"/>
            <w:tcBorders>
              <w:top w:val="single" w:color="auto" w:sz="4" w:space="0"/>
              <w:left w:val="nil"/>
              <w:bottom w:val="single" w:color="auto" w:sz="4" w:space="0"/>
              <w:right w:val="single" w:color="auto" w:sz="4" w:space="0"/>
            </w:tcBorders>
            <w:noWrap w:val="0"/>
            <w:vAlign w:val="center"/>
          </w:tcPr>
          <w:p w14:paraId="0AE416A0">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p>
        </w:tc>
        <w:tc>
          <w:tcPr>
            <w:tcW w:w="1880" w:type="dxa"/>
            <w:tcBorders>
              <w:top w:val="single" w:color="auto" w:sz="4" w:space="0"/>
              <w:left w:val="nil"/>
              <w:bottom w:val="single" w:color="auto" w:sz="4" w:space="0"/>
              <w:right w:val="single" w:color="auto" w:sz="4" w:space="0"/>
            </w:tcBorders>
            <w:noWrap w:val="0"/>
            <w:vAlign w:val="center"/>
          </w:tcPr>
          <w:p w14:paraId="3AAE9712">
            <w:pPr>
              <w:keepLines w:val="0"/>
              <w:pageBreakBefore w:val="0"/>
              <w:widowControl/>
              <w:kinsoku/>
              <w:wordWrap/>
              <w:overflowPunct/>
              <w:topLinePunct w:val="0"/>
              <w:autoSpaceDE/>
              <w:autoSpaceDN/>
              <w:bidi w:val="0"/>
              <w:adjustRightInd/>
              <w:snapToGrid/>
              <w:spacing w:line="5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过往服务企业类型</w:t>
            </w:r>
          </w:p>
        </w:tc>
        <w:tc>
          <w:tcPr>
            <w:tcW w:w="3996" w:type="dxa"/>
            <w:tcBorders>
              <w:top w:val="single" w:color="auto" w:sz="4" w:space="0"/>
              <w:left w:val="nil"/>
              <w:bottom w:val="single" w:color="auto" w:sz="4" w:space="0"/>
              <w:right w:val="single" w:color="auto" w:sz="4" w:space="0"/>
            </w:tcBorders>
            <w:noWrap w:val="0"/>
            <w:vAlign w:val="center"/>
          </w:tcPr>
          <w:p w14:paraId="34AE92D4">
            <w:pPr>
              <w:keepLines w:val="0"/>
              <w:pageBreakBefore w:val="0"/>
              <w:widowControl/>
              <w:kinsoku/>
              <w:wordWrap/>
              <w:overflowPunct/>
              <w:topLinePunct w:val="0"/>
              <w:autoSpaceDE/>
              <w:autoSpaceDN/>
              <w:bidi w:val="0"/>
              <w:adjustRightInd/>
              <w:snapToGrid/>
              <w:spacing w:line="5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外资企业  □ 上市企业</w:t>
            </w:r>
          </w:p>
          <w:p w14:paraId="30E390AC">
            <w:pPr>
              <w:keepLines w:val="0"/>
              <w:pageBreakBefore w:val="0"/>
              <w:widowControl/>
              <w:kinsoku/>
              <w:wordWrap/>
              <w:overflowPunct/>
              <w:topLinePunct w:val="0"/>
              <w:autoSpaceDE/>
              <w:autoSpaceDN/>
              <w:bidi w:val="0"/>
              <w:adjustRightInd/>
              <w:snapToGrid/>
              <w:spacing w:line="560" w:lineRule="exact"/>
              <w:jc w:val="left"/>
              <w:rPr>
                <w:rFonts w:eastAsia="宋体" w:cs="Times New Roman"/>
              </w:rPr>
            </w:pPr>
            <w:r>
              <w:rPr>
                <w:rFonts w:hint="eastAsia" w:ascii="仿宋" w:hAnsi="仿宋" w:eastAsia="仿宋" w:cs="仿宋"/>
                <w:color w:val="000000"/>
                <w:kern w:val="0"/>
                <w:sz w:val="28"/>
                <w:szCs w:val="28"/>
              </w:rPr>
              <w:t xml:space="preserve">□ 专精特新   □小巨人 </w:t>
            </w:r>
          </w:p>
        </w:tc>
      </w:tr>
      <w:tr w14:paraId="5E746439">
        <w:tblPrEx>
          <w:tblCellMar>
            <w:top w:w="0" w:type="dxa"/>
            <w:left w:w="108" w:type="dxa"/>
            <w:bottom w:w="0" w:type="dxa"/>
            <w:right w:w="108" w:type="dxa"/>
          </w:tblCellMar>
        </w:tblPrEx>
        <w:trPr>
          <w:cantSplit/>
          <w:trHeight w:val="1467" w:hRule="atLeast"/>
        </w:trPr>
        <w:tc>
          <w:tcPr>
            <w:tcW w:w="1613" w:type="dxa"/>
            <w:tcBorders>
              <w:top w:val="nil"/>
              <w:left w:val="single" w:color="auto" w:sz="4" w:space="0"/>
              <w:bottom w:val="single" w:color="auto" w:sz="4" w:space="0"/>
              <w:right w:val="single" w:color="auto" w:sz="4" w:space="0"/>
            </w:tcBorders>
            <w:noWrap w:val="0"/>
            <w:vAlign w:val="center"/>
          </w:tcPr>
          <w:p w14:paraId="4561FD95">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法定代表人</w:t>
            </w:r>
          </w:p>
        </w:tc>
        <w:tc>
          <w:tcPr>
            <w:tcW w:w="2620" w:type="dxa"/>
            <w:gridSpan w:val="2"/>
            <w:tcBorders>
              <w:top w:val="nil"/>
              <w:left w:val="nil"/>
              <w:bottom w:val="single" w:color="auto" w:sz="4" w:space="0"/>
              <w:right w:val="single" w:color="auto" w:sz="4" w:space="0"/>
            </w:tcBorders>
            <w:noWrap w:val="0"/>
            <w:vAlign w:val="center"/>
          </w:tcPr>
          <w:p w14:paraId="3496567C">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p>
        </w:tc>
        <w:tc>
          <w:tcPr>
            <w:tcW w:w="1880" w:type="dxa"/>
            <w:tcBorders>
              <w:top w:val="nil"/>
              <w:left w:val="nil"/>
              <w:bottom w:val="single" w:color="auto" w:sz="4" w:space="0"/>
              <w:right w:val="single" w:color="auto" w:sz="4" w:space="0"/>
            </w:tcBorders>
            <w:noWrap w:val="0"/>
            <w:vAlign w:val="center"/>
          </w:tcPr>
          <w:p w14:paraId="3E108058">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业务负责人及联系电话</w:t>
            </w:r>
          </w:p>
        </w:tc>
        <w:tc>
          <w:tcPr>
            <w:tcW w:w="3996" w:type="dxa"/>
            <w:tcBorders>
              <w:top w:val="nil"/>
              <w:left w:val="nil"/>
              <w:bottom w:val="single" w:color="auto" w:sz="4" w:space="0"/>
              <w:right w:val="single" w:color="000000" w:sz="4" w:space="0"/>
            </w:tcBorders>
            <w:noWrap w:val="0"/>
            <w:vAlign w:val="center"/>
          </w:tcPr>
          <w:p w14:paraId="279AE057">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p>
        </w:tc>
      </w:tr>
      <w:tr w14:paraId="32674745">
        <w:tblPrEx>
          <w:tblCellMar>
            <w:top w:w="0" w:type="dxa"/>
            <w:left w:w="108" w:type="dxa"/>
            <w:bottom w:w="0" w:type="dxa"/>
            <w:right w:w="108" w:type="dxa"/>
          </w:tblCellMar>
        </w:tblPrEx>
        <w:trPr>
          <w:cantSplit/>
          <w:trHeight w:val="599" w:hRule="atLeast"/>
        </w:trPr>
        <w:tc>
          <w:tcPr>
            <w:tcW w:w="1613" w:type="dxa"/>
            <w:tcBorders>
              <w:top w:val="nil"/>
              <w:left w:val="single" w:color="auto" w:sz="4" w:space="0"/>
              <w:bottom w:val="single" w:color="auto" w:sz="4" w:space="0"/>
              <w:right w:val="single" w:color="auto" w:sz="4" w:space="0"/>
            </w:tcBorders>
            <w:noWrap w:val="0"/>
            <w:vAlign w:val="center"/>
          </w:tcPr>
          <w:p w14:paraId="568359B9">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4"/>
              </w:rPr>
              <w:t>服务技术人员（姓名）</w:t>
            </w:r>
          </w:p>
        </w:tc>
        <w:tc>
          <w:tcPr>
            <w:tcW w:w="1187" w:type="dxa"/>
            <w:tcBorders>
              <w:top w:val="nil"/>
              <w:left w:val="nil"/>
              <w:bottom w:val="single" w:color="auto" w:sz="4" w:space="0"/>
              <w:right w:val="single" w:color="auto" w:sz="4" w:space="0"/>
            </w:tcBorders>
            <w:noWrap w:val="0"/>
            <w:vAlign w:val="center"/>
          </w:tcPr>
          <w:p w14:paraId="5A974F92">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专业</w:t>
            </w:r>
          </w:p>
        </w:tc>
        <w:tc>
          <w:tcPr>
            <w:tcW w:w="1433" w:type="dxa"/>
            <w:tcBorders>
              <w:top w:val="nil"/>
              <w:left w:val="nil"/>
              <w:bottom w:val="single" w:color="auto" w:sz="4" w:space="0"/>
              <w:right w:val="single" w:color="auto" w:sz="4" w:space="0"/>
            </w:tcBorders>
            <w:noWrap w:val="0"/>
            <w:vAlign w:val="center"/>
          </w:tcPr>
          <w:p w14:paraId="1B4C5F50">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注册证书编号</w:t>
            </w:r>
          </w:p>
        </w:tc>
        <w:tc>
          <w:tcPr>
            <w:tcW w:w="1880" w:type="dxa"/>
            <w:tcBorders>
              <w:top w:val="nil"/>
              <w:left w:val="nil"/>
              <w:bottom w:val="single" w:color="auto" w:sz="4" w:space="0"/>
              <w:right w:val="single" w:color="auto" w:sz="4" w:space="0"/>
            </w:tcBorders>
            <w:noWrap w:val="0"/>
            <w:vAlign w:val="center"/>
          </w:tcPr>
          <w:p w14:paraId="269A6332">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身份证号码</w:t>
            </w:r>
          </w:p>
        </w:tc>
        <w:tc>
          <w:tcPr>
            <w:tcW w:w="3996" w:type="dxa"/>
            <w:tcBorders>
              <w:top w:val="nil"/>
              <w:left w:val="nil"/>
              <w:bottom w:val="single" w:color="auto" w:sz="4" w:space="0"/>
              <w:right w:val="single" w:color="auto" w:sz="4" w:space="0"/>
            </w:tcBorders>
            <w:noWrap w:val="0"/>
            <w:vAlign w:val="center"/>
          </w:tcPr>
          <w:p w14:paraId="59728BF4">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联系电话</w:t>
            </w:r>
          </w:p>
        </w:tc>
      </w:tr>
      <w:tr w14:paraId="2E3BD061">
        <w:tblPrEx>
          <w:tblCellMar>
            <w:top w:w="0" w:type="dxa"/>
            <w:left w:w="108" w:type="dxa"/>
            <w:bottom w:w="0" w:type="dxa"/>
            <w:right w:w="108" w:type="dxa"/>
          </w:tblCellMar>
        </w:tblPrEx>
        <w:trPr>
          <w:cantSplit/>
          <w:trHeight w:val="631" w:hRule="atLeast"/>
        </w:trPr>
        <w:tc>
          <w:tcPr>
            <w:tcW w:w="1613" w:type="dxa"/>
            <w:tcBorders>
              <w:top w:val="nil"/>
              <w:left w:val="single" w:color="auto" w:sz="4" w:space="0"/>
              <w:bottom w:val="single" w:color="auto" w:sz="4" w:space="0"/>
              <w:right w:val="single" w:color="auto" w:sz="4" w:space="0"/>
            </w:tcBorders>
            <w:noWrap w:val="0"/>
            <w:vAlign w:val="center"/>
          </w:tcPr>
          <w:p w14:paraId="598B5714">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p>
        </w:tc>
        <w:tc>
          <w:tcPr>
            <w:tcW w:w="1187" w:type="dxa"/>
            <w:tcBorders>
              <w:top w:val="single" w:color="auto" w:sz="4" w:space="0"/>
              <w:left w:val="nil"/>
              <w:bottom w:val="single" w:color="auto" w:sz="4" w:space="0"/>
              <w:right w:val="single" w:color="auto" w:sz="4" w:space="0"/>
            </w:tcBorders>
            <w:noWrap w:val="0"/>
            <w:vAlign w:val="center"/>
          </w:tcPr>
          <w:p w14:paraId="3C20CBF0">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14:paraId="2194CB80">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p>
        </w:tc>
        <w:tc>
          <w:tcPr>
            <w:tcW w:w="1880" w:type="dxa"/>
            <w:tcBorders>
              <w:top w:val="single" w:color="auto" w:sz="4" w:space="0"/>
              <w:left w:val="nil"/>
              <w:bottom w:val="single" w:color="auto" w:sz="4" w:space="0"/>
              <w:right w:val="single" w:color="auto" w:sz="4" w:space="0"/>
            </w:tcBorders>
            <w:noWrap w:val="0"/>
            <w:vAlign w:val="center"/>
          </w:tcPr>
          <w:p w14:paraId="7BA20BDC">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p>
        </w:tc>
        <w:tc>
          <w:tcPr>
            <w:tcW w:w="3996" w:type="dxa"/>
            <w:tcBorders>
              <w:top w:val="single" w:color="auto" w:sz="4" w:space="0"/>
              <w:left w:val="nil"/>
              <w:bottom w:val="single" w:color="auto" w:sz="4" w:space="0"/>
              <w:right w:val="single" w:color="auto" w:sz="4" w:space="0"/>
            </w:tcBorders>
            <w:noWrap w:val="0"/>
            <w:vAlign w:val="top"/>
          </w:tcPr>
          <w:p w14:paraId="7101476E">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p>
          <w:p w14:paraId="7549F3C0">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color w:val="000000"/>
                <w:kern w:val="0"/>
                <w:sz w:val="28"/>
                <w:szCs w:val="28"/>
              </w:rPr>
            </w:pPr>
          </w:p>
        </w:tc>
      </w:tr>
      <w:tr w14:paraId="1262387D">
        <w:tblPrEx>
          <w:tblCellMar>
            <w:top w:w="0" w:type="dxa"/>
            <w:left w:w="108" w:type="dxa"/>
            <w:bottom w:w="0" w:type="dxa"/>
            <w:right w:w="108" w:type="dxa"/>
          </w:tblCellMar>
        </w:tblPrEx>
        <w:trPr>
          <w:cantSplit/>
          <w:trHeight w:val="4899" w:hRule="atLeast"/>
        </w:trPr>
        <w:tc>
          <w:tcPr>
            <w:tcW w:w="10109" w:type="dxa"/>
            <w:gridSpan w:val="5"/>
            <w:tcBorders>
              <w:top w:val="single" w:color="auto" w:sz="4" w:space="0"/>
              <w:left w:val="single" w:color="auto" w:sz="4" w:space="0"/>
              <w:bottom w:val="single" w:color="000000" w:sz="4" w:space="0"/>
              <w:right w:val="single" w:color="000000" w:sz="4" w:space="0"/>
            </w:tcBorders>
            <w:noWrap w:val="0"/>
            <w:vAlign w:val="top"/>
          </w:tcPr>
          <w:p w14:paraId="5E9500D3">
            <w:pPr>
              <w:keepLines w:val="0"/>
              <w:pageBreakBefore w:val="0"/>
              <w:widowControl/>
              <w:kinsoku/>
              <w:wordWrap/>
              <w:overflowPunct/>
              <w:topLinePunct w:val="0"/>
              <w:autoSpaceDE/>
              <w:autoSpaceDN/>
              <w:bidi w:val="0"/>
              <w:adjustRightInd/>
              <w:snapToGrid/>
              <w:spacing w:line="560" w:lineRule="exact"/>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承  诺</w:t>
            </w:r>
          </w:p>
          <w:p w14:paraId="117195C6">
            <w:pPr>
              <w:keepLines w:val="0"/>
              <w:pageBreakBefore w:val="0"/>
              <w:widowControl/>
              <w:kinsoku/>
              <w:wordWrap/>
              <w:overflowPunct/>
              <w:topLinePunct w:val="0"/>
              <w:autoSpaceDE/>
              <w:autoSpaceDN/>
              <w:bidi w:val="0"/>
              <w:adjustRightInd/>
              <w:snapToGrid/>
              <w:spacing w:line="560" w:lineRule="exact"/>
              <w:ind w:firstLine="420" w:firstLineChars="1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本公司此次申报所提供的资料真实有效，报名之日前三年在经营活动中无违法违规行为和</w:t>
            </w:r>
            <w:r>
              <w:rPr>
                <w:rFonts w:hint="eastAsia" w:ascii="仿宋" w:hAnsi="仿宋" w:eastAsia="仿宋" w:cs="仿宋"/>
                <w:color w:val="000000"/>
                <w:kern w:val="0"/>
                <w:sz w:val="28"/>
                <w:szCs w:val="28"/>
                <w:lang w:eastAsia="zh-CN"/>
              </w:rPr>
              <w:t>不良记录</w:t>
            </w:r>
            <w:r>
              <w:rPr>
                <w:rFonts w:hint="eastAsia" w:ascii="仿宋" w:hAnsi="仿宋" w:eastAsia="仿宋" w:cs="仿宋"/>
                <w:color w:val="000000"/>
                <w:kern w:val="0"/>
                <w:sz w:val="28"/>
                <w:szCs w:val="28"/>
              </w:rPr>
              <w:t>。如存在虚假行为，三年内不再次申报。遵守国家、省、市关于财政评审的各项管理制度，依法依规提供评审服务，并对评审结果负责。</w:t>
            </w:r>
          </w:p>
          <w:p w14:paraId="21AAD37A">
            <w:pPr>
              <w:keepLines w:val="0"/>
              <w:pageBreakBefore w:val="0"/>
              <w:widowControl/>
              <w:kinsoku/>
              <w:wordWrap/>
              <w:overflowPunct/>
              <w:topLinePunct w:val="0"/>
              <w:autoSpaceDE/>
              <w:autoSpaceDN/>
              <w:bidi w:val="0"/>
              <w:adjustRightInd/>
              <w:snapToGrid/>
              <w:spacing w:line="560" w:lineRule="exact"/>
              <w:ind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特此承诺。</w:t>
            </w:r>
          </w:p>
          <w:p w14:paraId="1D8E0A4B">
            <w:pPr>
              <w:keepLines w:val="0"/>
              <w:pageBreakBefore w:val="0"/>
              <w:widowControl/>
              <w:kinsoku/>
              <w:wordWrap/>
              <w:overflowPunct/>
              <w:topLinePunct w:val="0"/>
              <w:autoSpaceDE/>
              <w:autoSpaceDN/>
              <w:bidi w:val="0"/>
              <w:adjustRightInd/>
              <w:snapToGrid/>
              <w:spacing w:line="560" w:lineRule="exact"/>
              <w:ind w:right="560"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年   月   日</w:t>
            </w:r>
          </w:p>
          <w:p w14:paraId="1AF70BC9">
            <w:pPr>
              <w:keepLines w:val="0"/>
              <w:pageBreakBefore w:val="0"/>
              <w:widowControl/>
              <w:kinsoku/>
              <w:wordWrap/>
              <w:overflowPunct/>
              <w:topLinePunct w:val="0"/>
              <w:autoSpaceDE/>
              <w:autoSpaceDN/>
              <w:bidi w:val="0"/>
              <w:adjustRightInd/>
              <w:snapToGrid/>
              <w:spacing w:line="560" w:lineRule="exact"/>
              <w:ind w:right="560" w:firstLine="700" w:firstLineChars="2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（企业公章）</w:t>
            </w:r>
          </w:p>
        </w:tc>
      </w:tr>
    </w:tbl>
    <w:p w14:paraId="5818F0F9">
      <w:pPr>
        <w:pStyle w:val="3"/>
        <w:keepLines w:val="0"/>
        <w:pageBreakBefore w:val="0"/>
        <w:kinsoku/>
        <w:wordWrap/>
        <w:overflowPunct/>
        <w:topLinePunct w:val="0"/>
        <w:autoSpaceDE/>
        <w:autoSpaceDN/>
        <w:bidi w:val="0"/>
        <w:adjustRightInd/>
        <w:snapToGrid/>
        <w:spacing w:line="560" w:lineRule="exact"/>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br w:type="page"/>
      </w:r>
      <w:r>
        <w:rPr>
          <w:rFonts w:hint="eastAsia" w:ascii="黑体" w:hAnsi="黑体" w:eastAsia="黑体" w:cs="黑体"/>
          <w:b w:val="0"/>
          <w:bCs w:val="0"/>
          <w:color w:val="000000"/>
          <w:kern w:val="0"/>
          <w:sz w:val="32"/>
          <w:szCs w:val="32"/>
        </w:rPr>
        <w:t>附件3</w:t>
      </w:r>
    </w:p>
    <w:p w14:paraId="3AE454CD">
      <w:pPr>
        <w:keepLines w:val="0"/>
        <w:pageBreakBefore w:val="0"/>
        <w:widowControl/>
        <w:shd w:val="clear" w:color="auto" w:fill="FFFFFF"/>
        <w:kinsoku/>
        <w:wordWrap/>
        <w:overflowPunct/>
        <w:topLinePunct w:val="0"/>
        <w:autoSpaceDE/>
        <w:autoSpaceDN/>
        <w:bidi w:val="0"/>
        <w:adjustRightInd/>
        <w:snapToGrid/>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承诺书</w:t>
      </w:r>
    </w:p>
    <w:p w14:paraId="367CA584">
      <w:pPr>
        <w:keepLines w:val="0"/>
        <w:pageBreakBefore w:val="0"/>
        <w:widowControl/>
        <w:shd w:val="clear" w:color="auto" w:fill="FFFFFF"/>
        <w:kinsoku/>
        <w:wordWrap/>
        <w:overflowPunct/>
        <w:topLinePunct w:val="0"/>
        <w:autoSpaceDE/>
        <w:autoSpaceDN/>
        <w:bidi w:val="0"/>
        <w:adjustRightInd/>
        <w:snapToGrid/>
        <w:spacing w:line="560" w:lineRule="exact"/>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    </w:t>
      </w:r>
    </w:p>
    <w:p w14:paraId="7B35FA31">
      <w:pPr>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150"/>
        <w:jc w:val="left"/>
        <w:rPr>
          <w:rFonts w:ascii="仿宋" w:hAnsi="仿宋" w:eastAsia="仿宋" w:cs="仿宋"/>
          <w:color w:val="000000"/>
          <w:kern w:val="0"/>
          <w:sz w:val="32"/>
          <w:szCs w:val="32"/>
        </w:rPr>
      </w:pPr>
      <w:r>
        <w:rPr>
          <w:rFonts w:ascii="仿宋" w:hAnsi="仿宋" w:eastAsia="仿宋" w:cs="仿宋"/>
          <w:color w:val="000000"/>
          <w:kern w:val="0"/>
          <w:sz w:val="32"/>
          <w:szCs w:val="32"/>
        </w:rPr>
        <w:t>本</w:t>
      </w:r>
      <w:r>
        <w:rPr>
          <w:rFonts w:hint="eastAsia" w:ascii="仿宋" w:hAnsi="仿宋" w:eastAsia="仿宋" w:cs="仿宋"/>
          <w:color w:val="000000"/>
          <w:kern w:val="0"/>
          <w:sz w:val="32"/>
          <w:szCs w:val="32"/>
        </w:rPr>
        <w:t>单位</w:t>
      </w:r>
      <w:r>
        <w:rPr>
          <w:rFonts w:ascii="仿宋" w:hAnsi="仿宋" w:eastAsia="仿宋" w:cs="仿宋"/>
          <w:color w:val="000000"/>
          <w:kern w:val="0"/>
          <w:sz w:val="32"/>
          <w:szCs w:val="32"/>
        </w:rPr>
        <w:t>自愿</w:t>
      </w:r>
      <w:r>
        <w:rPr>
          <w:rFonts w:hint="eastAsia" w:ascii="仿宋" w:hAnsi="仿宋" w:eastAsia="仿宋" w:cs="仿宋"/>
          <w:color w:val="000000"/>
          <w:kern w:val="0"/>
          <w:sz w:val="32"/>
          <w:szCs w:val="32"/>
        </w:rPr>
        <w:t>参加福田区“点线世界”综合服务平台合作服务商公开征集活动</w:t>
      </w:r>
      <w:r>
        <w:rPr>
          <w:rFonts w:ascii="仿宋" w:hAnsi="仿宋" w:eastAsia="仿宋" w:cs="仿宋"/>
          <w:color w:val="000000"/>
          <w:kern w:val="0"/>
          <w:sz w:val="32"/>
          <w:szCs w:val="32"/>
        </w:rPr>
        <w:t>，若</w:t>
      </w:r>
      <w:r>
        <w:rPr>
          <w:rFonts w:hint="eastAsia" w:ascii="仿宋" w:hAnsi="仿宋" w:eastAsia="仿宋" w:cs="仿宋"/>
          <w:color w:val="000000"/>
          <w:kern w:val="0"/>
          <w:sz w:val="32"/>
          <w:szCs w:val="32"/>
        </w:rPr>
        <w:t>评定入选，</w:t>
      </w:r>
      <w:r>
        <w:rPr>
          <w:rFonts w:hint="eastAsia" w:ascii="仿宋" w:hAnsi="仿宋" w:eastAsia="仿宋" w:cs="仿宋"/>
          <w:color w:val="000000"/>
          <w:kern w:val="0"/>
          <w:sz w:val="32"/>
          <w:szCs w:val="32"/>
          <w:lang w:val="en-US" w:eastAsia="zh-CN"/>
        </w:rPr>
        <w:t>本单位及</w:t>
      </w:r>
      <w:r>
        <w:rPr>
          <w:rFonts w:hint="eastAsia" w:ascii="仿宋" w:hAnsi="仿宋" w:eastAsia="仿宋" w:cs="仿宋"/>
          <w:color w:val="000000"/>
          <w:kern w:val="0"/>
          <w:sz w:val="32"/>
          <w:szCs w:val="32"/>
        </w:rPr>
        <w:t>法定代表人郑重承诺：</w:t>
      </w:r>
    </w:p>
    <w:p w14:paraId="2F11FB3A">
      <w:pPr>
        <w:keepLines w:val="0"/>
        <w:pageBreakBefore w:val="0"/>
        <w:widowControl/>
        <w:shd w:val="clear" w:color="auto" w:fill="FFFFFF"/>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ascii="仿宋" w:hAnsi="仿宋" w:eastAsia="仿宋" w:cs="仿宋"/>
          <w:color w:val="000000"/>
          <w:kern w:val="0"/>
          <w:sz w:val="32"/>
          <w:szCs w:val="32"/>
        </w:rPr>
        <w:t xml:space="preserve">   本</w:t>
      </w:r>
      <w:r>
        <w:rPr>
          <w:rFonts w:hint="eastAsia" w:ascii="仿宋" w:hAnsi="仿宋" w:eastAsia="仿宋" w:cs="仿宋"/>
          <w:color w:val="000000"/>
          <w:kern w:val="0"/>
          <w:sz w:val="32"/>
          <w:szCs w:val="32"/>
        </w:rPr>
        <w:t>单位</w:t>
      </w:r>
      <w:r>
        <w:rPr>
          <w:rFonts w:hint="eastAsia" w:ascii="仿宋" w:hAnsi="仿宋" w:eastAsia="仿宋" w:cs="仿宋"/>
          <w:sz w:val="32"/>
          <w:szCs w:val="32"/>
        </w:rPr>
        <w:t>近</w:t>
      </w:r>
      <w:r>
        <w:rPr>
          <w:rFonts w:hint="eastAsia" w:ascii="仿宋" w:hAnsi="仿宋" w:eastAsia="仿宋" w:cs="仿宋"/>
          <w:sz w:val="32"/>
          <w:szCs w:val="32"/>
          <w:lang w:eastAsia="zh-CN"/>
        </w:rPr>
        <w:t>三</w:t>
      </w:r>
      <w:r>
        <w:rPr>
          <w:rFonts w:hint="eastAsia" w:ascii="仿宋" w:hAnsi="仿宋" w:eastAsia="仿宋" w:cs="仿宋"/>
          <w:sz w:val="32"/>
          <w:szCs w:val="32"/>
        </w:rPr>
        <w:t>年内经营活动</w:t>
      </w:r>
      <w:r>
        <w:rPr>
          <w:rFonts w:ascii="仿宋" w:hAnsi="仿宋" w:eastAsia="仿宋" w:cs="仿宋"/>
          <w:sz w:val="32"/>
          <w:szCs w:val="32"/>
        </w:rPr>
        <w:t>一切正常、</w:t>
      </w:r>
      <w:r>
        <w:rPr>
          <w:rFonts w:hint="eastAsia" w:ascii="仿宋" w:hAnsi="仿宋" w:eastAsia="仿宋" w:cs="仿宋"/>
          <w:sz w:val="32"/>
          <w:szCs w:val="32"/>
        </w:rPr>
        <w:t>社会信誉</w:t>
      </w:r>
      <w:r>
        <w:rPr>
          <w:rFonts w:ascii="仿宋" w:hAnsi="仿宋" w:eastAsia="仿宋" w:cs="仿宋"/>
          <w:sz w:val="32"/>
          <w:szCs w:val="32"/>
        </w:rPr>
        <w:t>良</w:t>
      </w:r>
      <w:r>
        <w:rPr>
          <w:rFonts w:hint="eastAsia" w:ascii="仿宋" w:hAnsi="仿宋" w:eastAsia="仿宋" w:cs="仿宋"/>
          <w:sz w:val="32"/>
          <w:szCs w:val="32"/>
        </w:rPr>
        <w:t>好，无行贿</w:t>
      </w:r>
      <w:r>
        <w:rPr>
          <w:rFonts w:hint="eastAsia" w:ascii="仿宋" w:hAnsi="仿宋" w:eastAsia="仿宋" w:cs="仿宋"/>
          <w:sz w:val="32"/>
          <w:szCs w:val="32"/>
          <w:lang w:val="en-US" w:eastAsia="zh-CN"/>
        </w:rPr>
        <w:t>及其他</w:t>
      </w:r>
      <w:r>
        <w:rPr>
          <w:rFonts w:hint="eastAsia" w:ascii="仿宋" w:hAnsi="仿宋" w:eastAsia="仿宋" w:cs="仿宋"/>
          <w:sz w:val="32"/>
          <w:szCs w:val="32"/>
        </w:rPr>
        <w:t>犯罪</w:t>
      </w:r>
      <w:r>
        <w:rPr>
          <w:rFonts w:hint="eastAsia" w:ascii="仿宋" w:hAnsi="仿宋" w:eastAsia="仿宋" w:cs="仿宋"/>
          <w:sz w:val="32"/>
          <w:szCs w:val="32"/>
          <w:lang w:val="en-US" w:eastAsia="zh-CN"/>
        </w:rPr>
        <w:t>行为和</w:t>
      </w:r>
      <w:r>
        <w:rPr>
          <w:rFonts w:hint="eastAsia" w:ascii="仿宋" w:hAnsi="仿宋" w:eastAsia="仿宋" w:cs="仿宋"/>
          <w:sz w:val="32"/>
          <w:szCs w:val="32"/>
        </w:rPr>
        <w:t>记录、无重大审计（评估）质量问题和经营、环保、纳税、</w:t>
      </w:r>
      <w:r>
        <w:rPr>
          <w:rFonts w:hint="eastAsia" w:ascii="仿宋" w:hAnsi="仿宋" w:eastAsia="仿宋" w:cs="仿宋"/>
          <w:sz w:val="32"/>
          <w:szCs w:val="32"/>
          <w:lang w:val="en-US" w:eastAsia="zh-CN"/>
        </w:rPr>
        <w:t>征信</w:t>
      </w:r>
      <w:r>
        <w:rPr>
          <w:rFonts w:hint="eastAsia" w:ascii="仿宋" w:hAnsi="仿宋" w:eastAsia="仿宋" w:cs="仿宋"/>
          <w:sz w:val="32"/>
          <w:szCs w:val="32"/>
        </w:rPr>
        <w:t>等方面不良记录、无其他重大违法</w:t>
      </w:r>
      <w:r>
        <w:rPr>
          <w:rFonts w:hint="eastAsia" w:ascii="仿宋" w:hAnsi="仿宋" w:eastAsia="仿宋" w:cs="仿宋"/>
          <w:sz w:val="32"/>
          <w:szCs w:val="32"/>
          <w:lang w:val="en-US" w:eastAsia="zh-CN"/>
        </w:rPr>
        <w:t>违约</w:t>
      </w:r>
      <w:r>
        <w:rPr>
          <w:rFonts w:hint="eastAsia" w:ascii="仿宋" w:hAnsi="仿宋" w:eastAsia="仿宋" w:cs="仿宋"/>
          <w:sz w:val="32"/>
          <w:szCs w:val="32"/>
        </w:rPr>
        <w:t>记录。</w:t>
      </w:r>
    </w:p>
    <w:p w14:paraId="41BF8ABC">
      <w:pPr>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本单位自愿遵守“点线世界”综合服务平台入驻、考核、退出等相关管理规定，</w:t>
      </w:r>
      <w:r>
        <w:rPr>
          <w:rFonts w:hint="eastAsia" w:ascii="仿宋" w:hAnsi="仿宋" w:eastAsia="仿宋" w:cs="仿宋"/>
          <w:sz w:val="32"/>
          <w:szCs w:val="32"/>
          <w:lang w:val="en-US" w:eastAsia="zh-CN"/>
        </w:rPr>
        <w:t>服从</w:t>
      </w:r>
      <w:r>
        <w:rPr>
          <w:rFonts w:hint="eastAsia" w:ascii="仿宋" w:hAnsi="仿宋" w:eastAsia="仿宋" w:cs="仿宋"/>
          <w:sz w:val="32"/>
          <w:szCs w:val="32"/>
          <w:lang w:eastAsia="zh-CN"/>
        </w:rPr>
        <w:t>“点线世界”综合服务平台</w:t>
      </w:r>
      <w:r>
        <w:rPr>
          <w:rFonts w:hint="eastAsia" w:ascii="仿宋" w:hAnsi="仿宋" w:eastAsia="仿宋" w:cs="仿宋"/>
          <w:sz w:val="32"/>
          <w:szCs w:val="32"/>
          <w:lang w:val="en-US" w:eastAsia="zh-CN"/>
        </w:rPr>
        <w:t>管理，并按要求提供相关证明资料、考核材料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并保证提供的申请材料真实、完整。</w:t>
      </w:r>
    </w:p>
    <w:p w14:paraId="27AEF56F">
      <w:pPr>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rPr>
          <w:rFonts w:hint="default" w:eastAsia="仿宋" w:cs="Times New Roman"/>
          <w:lang w:val="en-US" w:eastAsia="zh-CN"/>
        </w:rPr>
      </w:pPr>
      <w:r>
        <w:rPr>
          <w:rFonts w:hint="eastAsia" w:ascii="仿宋" w:hAnsi="仿宋" w:eastAsia="仿宋" w:cs="仿宋"/>
          <w:sz w:val="32"/>
          <w:szCs w:val="32"/>
          <w:lang w:val="en-US" w:eastAsia="zh-CN"/>
        </w:rPr>
        <w:t>本单位承诺，与</w:t>
      </w:r>
      <w:r>
        <w:rPr>
          <w:rFonts w:hint="eastAsia" w:ascii="仿宋" w:hAnsi="仿宋" w:eastAsia="仿宋" w:cs="仿宋"/>
          <w:sz w:val="32"/>
          <w:szCs w:val="32"/>
          <w:lang w:eastAsia="zh-CN"/>
        </w:rPr>
        <w:t>“点线世界”综合服务平台</w:t>
      </w:r>
      <w:r>
        <w:rPr>
          <w:rFonts w:hint="eastAsia" w:ascii="仿宋" w:hAnsi="仿宋" w:eastAsia="仿宋" w:cs="仿宋"/>
          <w:sz w:val="32"/>
          <w:szCs w:val="32"/>
          <w:lang w:val="en-US" w:eastAsia="zh-CN"/>
        </w:rPr>
        <w:t>及相关的一切非公开信息严格保密，不得损害平台及任何第三方合法权益，同时严格约束单位员工遵守本承诺内容。</w:t>
      </w:r>
    </w:p>
    <w:p w14:paraId="69920805">
      <w:pPr>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本单位对上述承诺内容负责，如有虚假</w:t>
      </w:r>
      <w:r>
        <w:rPr>
          <w:rFonts w:hint="eastAsia" w:ascii="仿宋" w:hAnsi="仿宋" w:eastAsia="仿宋" w:cs="仿宋"/>
          <w:color w:val="000000"/>
          <w:kern w:val="0"/>
          <w:sz w:val="32"/>
          <w:szCs w:val="32"/>
          <w:lang w:val="en-US" w:eastAsia="zh-CN"/>
        </w:rPr>
        <w:t>承诺或违反本承诺的行为</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我单位承诺立即退出</w:t>
      </w:r>
      <w:r>
        <w:rPr>
          <w:rFonts w:hint="eastAsia" w:ascii="仿宋" w:hAnsi="仿宋" w:eastAsia="仿宋" w:cs="仿宋"/>
          <w:sz w:val="32"/>
          <w:szCs w:val="32"/>
          <w:lang w:eastAsia="zh-CN"/>
        </w:rPr>
        <w:t>“点线世界”综合服务平台，</w:t>
      </w:r>
      <w:r>
        <w:rPr>
          <w:rFonts w:hint="eastAsia" w:ascii="仿宋" w:hAnsi="仿宋" w:eastAsia="仿宋" w:cs="仿宋"/>
          <w:sz w:val="32"/>
          <w:szCs w:val="32"/>
          <w:lang w:val="en-US" w:eastAsia="zh-CN"/>
        </w:rPr>
        <w:t>并</w:t>
      </w:r>
      <w:r>
        <w:rPr>
          <w:rFonts w:hint="eastAsia" w:ascii="仿宋" w:hAnsi="仿宋" w:eastAsia="仿宋" w:cs="仿宋"/>
          <w:color w:val="000000"/>
          <w:kern w:val="0"/>
          <w:sz w:val="32"/>
          <w:szCs w:val="32"/>
        </w:rPr>
        <w:t>承担相关法律责任。</w:t>
      </w:r>
    </w:p>
    <w:p w14:paraId="3F982788">
      <w:pPr>
        <w:keepLines w:val="0"/>
        <w:pageBreakBefore w:val="0"/>
        <w:widowControl/>
        <w:shd w:val="clear" w:color="auto" w:fill="FFFFFF"/>
        <w:kinsoku/>
        <w:wordWrap/>
        <w:overflowPunct/>
        <w:topLinePunct w:val="0"/>
        <w:autoSpaceDE/>
        <w:autoSpaceDN/>
        <w:bidi w:val="0"/>
        <w:adjustRightInd/>
        <w:snapToGrid/>
        <w:spacing w:line="560" w:lineRule="exact"/>
        <w:ind w:firstLine="0" w:firstLineChars="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单位名称：</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eastAsia="zh-CN"/>
        </w:rPr>
        <w:t>（</w:t>
      </w:r>
      <w:r>
        <w:rPr>
          <w:rFonts w:hint="eastAsia" w:ascii="仿宋" w:hAnsi="仿宋" w:eastAsia="仿宋" w:cs="仿宋"/>
          <w:color w:val="000000"/>
          <w:kern w:val="0"/>
          <w:sz w:val="32"/>
          <w:szCs w:val="32"/>
        </w:rPr>
        <w:t>盖单位公章</w:t>
      </w:r>
      <w:r>
        <w:rPr>
          <w:rFonts w:hint="eastAsia" w:ascii="仿宋" w:hAnsi="仿宋" w:eastAsia="仿宋" w:cs="仿宋"/>
          <w:color w:val="000000"/>
          <w:kern w:val="0"/>
          <w:sz w:val="32"/>
          <w:szCs w:val="32"/>
          <w:lang w:eastAsia="zh-CN"/>
        </w:rPr>
        <w:t>）</w:t>
      </w:r>
      <w:r>
        <w:rPr>
          <w:rFonts w:ascii="仿宋" w:hAnsi="仿宋" w:eastAsia="仿宋" w:cs="仿宋"/>
          <w:color w:val="000000"/>
          <w:kern w:val="0"/>
          <w:sz w:val="32"/>
          <w:szCs w:val="32"/>
        </w:rPr>
        <w:t xml:space="preserve">      </w:t>
      </w:r>
    </w:p>
    <w:p w14:paraId="35027A83">
      <w:pPr>
        <w:keepLines w:val="0"/>
        <w:pageBreakBefore w:val="0"/>
        <w:widowControl/>
        <w:shd w:val="clear" w:color="auto" w:fill="FFFFFF"/>
        <w:kinsoku/>
        <w:wordWrap/>
        <w:overflowPunct/>
        <w:topLinePunct w:val="0"/>
        <w:autoSpaceDE/>
        <w:autoSpaceDN/>
        <w:bidi w:val="0"/>
        <w:adjustRightInd/>
        <w:snapToGrid/>
        <w:spacing w:line="560" w:lineRule="exact"/>
        <w:ind w:firstLine="0" w:firstLineChars="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法定代表人（签字）：</w:t>
      </w:r>
      <w:r>
        <w:rPr>
          <w:rFonts w:hint="eastAsia" w:ascii="仿宋" w:hAnsi="仿宋" w:eastAsia="仿宋" w:cs="仿宋"/>
          <w:color w:val="000000"/>
          <w:kern w:val="0"/>
          <w:sz w:val="32"/>
          <w:szCs w:val="32"/>
          <w:u w:val="single"/>
        </w:rPr>
        <w:t xml:space="preserve">      </w:t>
      </w:r>
      <w:r>
        <w:rPr>
          <w:rFonts w:ascii="仿宋" w:hAnsi="仿宋" w:eastAsia="仿宋" w:cs="仿宋"/>
          <w:color w:val="000000"/>
          <w:kern w:val="0"/>
          <w:sz w:val="32"/>
          <w:szCs w:val="32"/>
        </w:rPr>
        <w:t xml:space="preserve">   </w:t>
      </w:r>
    </w:p>
    <w:p w14:paraId="2B5FD6DB">
      <w:pPr>
        <w:keepLines w:val="0"/>
        <w:pageBreakBefore w:val="0"/>
        <w:widowControl/>
        <w:shd w:val="clear" w:color="auto" w:fill="FFFFFF"/>
        <w:kinsoku/>
        <w:wordWrap/>
        <w:overflowPunct/>
        <w:topLinePunct w:val="0"/>
        <w:autoSpaceDE/>
        <w:autoSpaceDN/>
        <w:bidi w:val="0"/>
        <w:adjustRightInd/>
        <w:snapToGrid/>
        <w:spacing w:line="560" w:lineRule="exact"/>
        <w:ind w:firstLine="0" w:firstLineChars="0"/>
        <w:jc w:val="left"/>
        <w:rPr>
          <w:rFonts w:ascii="仿宋" w:hAnsi="仿宋" w:eastAsia="仿宋" w:cs="仿宋"/>
          <w:color w:val="000000"/>
          <w:kern w:val="0"/>
          <w:sz w:val="32"/>
          <w:szCs w:val="32"/>
        </w:rPr>
      </w:pPr>
      <w:r>
        <w:rPr>
          <w:rFonts w:ascii="仿宋" w:hAnsi="仿宋" w:eastAsia="仿宋" w:cs="仿宋"/>
          <w:color w:val="000000"/>
          <w:kern w:val="0"/>
          <w:sz w:val="32"/>
          <w:szCs w:val="32"/>
        </w:rPr>
        <w:t xml:space="preserve">  </w:t>
      </w:r>
    </w:p>
    <w:p w14:paraId="3DC502B3">
      <w:pPr>
        <w:keepLines w:val="0"/>
        <w:pageBreakBefore w:val="0"/>
        <w:widowControl/>
        <w:shd w:val="clear" w:color="auto" w:fill="FFFFFF"/>
        <w:kinsoku/>
        <w:wordWrap/>
        <w:overflowPunct/>
        <w:topLinePunct w:val="0"/>
        <w:autoSpaceDE/>
        <w:autoSpaceDN/>
        <w:bidi w:val="0"/>
        <w:adjustRightInd/>
        <w:snapToGrid/>
        <w:spacing w:line="560" w:lineRule="exact"/>
        <w:ind w:firstLine="4160" w:firstLineChars="1300"/>
        <w:jc w:val="left"/>
        <w:rPr>
          <w:rFonts w:hint="eastAsia" w:ascii="仿宋" w:hAnsi="仿宋" w:eastAsia="仿宋" w:cs="仿宋"/>
          <w:color w:val="000000"/>
          <w:kern w:val="0"/>
          <w:sz w:val="32"/>
          <w:szCs w:val="32"/>
        </w:rPr>
      </w:pP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日    期：</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日</w:t>
      </w:r>
    </w:p>
    <w:p w14:paraId="35FD2175">
      <w:pPr>
        <w:pStyle w:val="7"/>
        <w:keepLines w:val="0"/>
        <w:pageBreakBefore w:val="0"/>
        <w:kinsoku/>
        <w:wordWrap/>
        <w:overflowPunct/>
        <w:topLinePunct w:val="0"/>
        <w:autoSpaceDE/>
        <w:autoSpaceDN/>
        <w:bidi w:val="0"/>
        <w:adjustRightInd/>
        <w:snapToGrid/>
        <w:spacing w:line="560" w:lineRule="exact"/>
        <w:rPr>
          <w:rFonts w:ascii="黑体" w:hAnsi="黑体" w:eastAsia="黑体" w:cs="黑体"/>
          <w:sz w:val="32"/>
          <w:szCs w:val="32"/>
        </w:rPr>
      </w:pPr>
    </w:p>
    <w:p w14:paraId="1D52ED6A">
      <w:pPr>
        <w:pStyle w:val="7"/>
        <w:keepLines w:val="0"/>
        <w:pageBreakBefore w:val="0"/>
        <w:kinsoku/>
        <w:wordWrap/>
        <w:overflowPunct/>
        <w:topLinePunct w:val="0"/>
        <w:autoSpaceDE/>
        <w:autoSpaceDN/>
        <w:bidi w:val="0"/>
        <w:adjustRightInd/>
        <w:snapToGrid/>
        <w:spacing w:line="560" w:lineRule="exact"/>
        <w:rPr>
          <w:rFonts w:hint="eastAsia" w:ascii="黑体" w:hAnsi="黑体" w:eastAsia="黑体" w:cs="黑体"/>
          <w:sz w:val="32"/>
          <w:szCs w:val="32"/>
          <w:lang w:val="en-US" w:eastAsia="zh-CN"/>
        </w:rPr>
      </w:pPr>
      <w:r>
        <w:rPr>
          <w:rFonts w:ascii="黑体" w:hAnsi="黑体" w:eastAsia="黑体" w:cs="黑体"/>
          <w:sz w:val="32"/>
          <w:szCs w:val="32"/>
        </w:rPr>
        <w:t>附件</w:t>
      </w:r>
      <w:r>
        <w:rPr>
          <w:rFonts w:hint="eastAsia" w:ascii="黑体" w:hAnsi="黑体" w:eastAsia="黑体" w:cs="黑体"/>
          <w:sz w:val="32"/>
          <w:szCs w:val="32"/>
          <w:lang w:val="en-US" w:eastAsia="zh-CN"/>
        </w:rPr>
        <w:t>4</w:t>
      </w:r>
    </w:p>
    <w:p w14:paraId="001D9D0F">
      <w:pPr>
        <w:pStyle w:val="2"/>
        <w:keepLines w:val="0"/>
        <w:pageBreakBefore w:val="0"/>
        <w:kinsoku/>
        <w:wordWrap/>
        <w:overflowPunct/>
        <w:topLinePunct w:val="0"/>
        <w:autoSpaceDE/>
        <w:autoSpaceDN/>
        <w:bidi w:val="0"/>
        <w:adjustRightInd/>
        <w:snapToGrid/>
        <w:spacing w:after="0"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服务商筛选评分细则</w:t>
      </w:r>
    </w:p>
    <w:tbl>
      <w:tblPr>
        <w:tblStyle w:val="9"/>
        <w:tblW w:w="9547"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6"/>
        <w:gridCol w:w="1687"/>
        <w:gridCol w:w="3504"/>
      </w:tblGrid>
      <w:tr w14:paraId="7AAD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noWrap w:val="0"/>
            <w:vAlign w:val="top"/>
          </w:tcPr>
          <w:p w14:paraId="682986DB">
            <w:pPr>
              <w:pStyle w:val="2"/>
              <w:keepLines w:val="0"/>
              <w:pageBreakBefore w:val="0"/>
              <w:kinsoku/>
              <w:wordWrap/>
              <w:overflowPunct/>
              <w:topLinePunct w:val="0"/>
              <w:autoSpaceDE/>
              <w:autoSpaceDN/>
              <w:bidi w:val="0"/>
              <w:adjustRightInd/>
              <w:snapToGrid/>
              <w:spacing w:after="0" w:line="560" w:lineRule="exact"/>
              <w:jc w:val="center"/>
              <w:rPr>
                <w:rFonts w:hint="eastAsia" w:ascii="黑体" w:hAnsi="黑体" w:eastAsia="黑体" w:cs="黑体"/>
                <w:sz w:val="32"/>
                <w:szCs w:val="40"/>
                <w:vertAlign w:val="baseline"/>
                <w:lang w:eastAsia="zh-CN"/>
              </w:rPr>
            </w:pPr>
            <w:r>
              <w:rPr>
                <w:rFonts w:hint="eastAsia" w:ascii="黑体" w:hAnsi="黑体" w:eastAsia="黑体" w:cs="黑体"/>
                <w:sz w:val="32"/>
                <w:szCs w:val="40"/>
                <w:vertAlign w:val="baseline"/>
                <w:lang w:eastAsia="zh-CN"/>
              </w:rPr>
              <w:t>评分项</w:t>
            </w:r>
          </w:p>
        </w:tc>
        <w:tc>
          <w:tcPr>
            <w:tcW w:w="1687" w:type="dxa"/>
            <w:noWrap w:val="0"/>
            <w:vAlign w:val="top"/>
          </w:tcPr>
          <w:p w14:paraId="1310CBD5">
            <w:pPr>
              <w:pStyle w:val="2"/>
              <w:keepLines w:val="0"/>
              <w:pageBreakBefore w:val="0"/>
              <w:kinsoku/>
              <w:wordWrap/>
              <w:overflowPunct/>
              <w:topLinePunct w:val="0"/>
              <w:autoSpaceDE/>
              <w:autoSpaceDN/>
              <w:bidi w:val="0"/>
              <w:adjustRightInd/>
              <w:snapToGrid/>
              <w:spacing w:after="0" w:line="560" w:lineRule="exact"/>
              <w:jc w:val="center"/>
              <w:rPr>
                <w:rFonts w:hint="eastAsia" w:ascii="黑体" w:hAnsi="黑体" w:eastAsia="黑体" w:cs="黑体"/>
                <w:sz w:val="32"/>
                <w:szCs w:val="40"/>
                <w:vertAlign w:val="baseline"/>
                <w:lang w:eastAsia="zh-CN"/>
              </w:rPr>
            </w:pPr>
            <w:r>
              <w:rPr>
                <w:rFonts w:hint="eastAsia" w:ascii="黑体" w:hAnsi="黑体" w:eastAsia="黑体" w:cs="黑体"/>
                <w:sz w:val="32"/>
                <w:szCs w:val="40"/>
                <w:vertAlign w:val="baseline"/>
                <w:lang w:eastAsia="zh-CN"/>
              </w:rPr>
              <w:t>满分分值</w:t>
            </w:r>
          </w:p>
        </w:tc>
        <w:tc>
          <w:tcPr>
            <w:tcW w:w="3504" w:type="dxa"/>
            <w:noWrap w:val="0"/>
            <w:vAlign w:val="top"/>
          </w:tcPr>
          <w:p w14:paraId="4F612301">
            <w:pPr>
              <w:pStyle w:val="2"/>
              <w:keepLines w:val="0"/>
              <w:pageBreakBefore w:val="0"/>
              <w:kinsoku/>
              <w:wordWrap/>
              <w:overflowPunct/>
              <w:topLinePunct w:val="0"/>
              <w:autoSpaceDE/>
              <w:autoSpaceDN/>
              <w:bidi w:val="0"/>
              <w:adjustRightInd/>
              <w:snapToGrid/>
              <w:spacing w:after="0" w:line="560" w:lineRule="exact"/>
              <w:jc w:val="center"/>
              <w:rPr>
                <w:rFonts w:hint="default"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评分标准</w:t>
            </w:r>
          </w:p>
        </w:tc>
      </w:tr>
      <w:tr w14:paraId="3047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547" w:type="dxa"/>
            <w:gridSpan w:val="3"/>
            <w:noWrap w:val="0"/>
            <w:vAlign w:val="top"/>
          </w:tcPr>
          <w:p w14:paraId="78D09EAE">
            <w:pPr>
              <w:pStyle w:val="2"/>
              <w:keepLines w:val="0"/>
              <w:pageBreakBefore w:val="0"/>
              <w:kinsoku/>
              <w:wordWrap/>
              <w:overflowPunct/>
              <w:topLinePunct w:val="0"/>
              <w:autoSpaceDE/>
              <w:autoSpaceDN/>
              <w:bidi w:val="0"/>
              <w:adjustRightInd/>
              <w:snapToGrid/>
              <w:spacing w:after="0" w:line="560" w:lineRule="exact"/>
              <w:jc w:val="center"/>
              <w:rPr>
                <w:rFonts w:hint="eastAsia" w:ascii="楷体_GB2312" w:hAnsi="楷体_GB2312" w:eastAsia="楷体_GB2312" w:cs="楷体_GB2312"/>
                <w:color w:val="060607"/>
                <w:spacing w:val="4"/>
                <w:sz w:val="32"/>
                <w:szCs w:val="32"/>
                <w:lang w:eastAsia="zh-CN"/>
              </w:rPr>
            </w:pPr>
            <w:r>
              <w:rPr>
                <w:rFonts w:hint="eastAsia" w:ascii="楷体_GB2312" w:hAnsi="楷体_GB2312" w:eastAsia="楷体_GB2312" w:cs="楷体_GB2312"/>
                <w:color w:val="060607"/>
                <w:spacing w:val="4"/>
                <w:sz w:val="32"/>
                <w:szCs w:val="32"/>
                <w:lang w:eastAsia="zh-CN"/>
              </w:rPr>
              <w:t>必要条件</w:t>
            </w:r>
          </w:p>
        </w:tc>
      </w:tr>
      <w:tr w14:paraId="577F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noWrap w:val="0"/>
            <w:vAlign w:val="top"/>
          </w:tcPr>
          <w:p w14:paraId="61A162F3">
            <w:pPr>
              <w:pStyle w:val="2"/>
              <w:keepLines w:val="0"/>
              <w:pageBreakBefore w:val="0"/>
              <w:kinsoku/>
              <w:wordWrap/>
              <w:overflowPunct/>
              <w:topLinePunct w:val="0"/>
              <w:autoSpaceDE/>
              <w:autoSpaceDN/>
              <w:bidi w:val="0"/>
              <w:adjustRightInd/>
              <w:snapToGrid/>
              <w:spacing w:after="0" w:line="560" w:lineRule="exact"/>
              <w:jc w:val="left"/>
              <w:rPr>
                <w:rFonts w:eastAsia="宋体" w:cs="Times New Roman"/>
                <w:vertAlign w:val="baseline"/>
              </w:rPr>
            </w:pPr>
            <w:r>
              <w:rPr>
                <w:rFonts w:hint="eastAsia" w:ascii="仿宋_GB2312" w:hAnsi="仿宋_GB2312" w:eastAsia="仿宋_GB2312" w:cs="仿宋_GB2312"/>
                <w:color w:val="060607"/>
                <w:spacing w:val="4"/>
                <w:sz w:val="32"/>
                <w:szCs w:val="32"/>
              </w:rPr>
              <w:t>依法在我国登记注册（或分支机构注册）成立</w:t>
            </w:r>
            <w:r>
              <w:rPr>
                <w:rFonts w:hint="eastAsia" w:ascii="仿宋_GB2312" w:hAnsi="仿宋_GB2312" w:eastAsia="仿宋_GB2312" w:cs="仿宋_GB2312"/>
                <w:color w:val="060607"/>
                <w:spacing w:val="4"/>
                <w:sz w:val="32"/>
                <w:szCs w:val="32"/>
                <w:lang w:val="en-US" w:eastAsia="zh-CN"/>
              </w:rPr>
              <w:t>3</w:t>
            </w:r>
            <w:r>
              <w:rPr>
                <w:rFonts w:hint="eastAsia" w:ascii="仿宋_GB2312" w:hAnsi="仿宋_GB2312" w:eastAsia="仿宋_GB2312" w:cs="仿宋_GB2312"/>
                <w:color w:val="060607"/>
                <w:spacing w:val="4"/>
                <w:sz w:val="32"/>
                <w:szCs w:val="32"/>
              </w:rPr>
              <w:t>年（含）以上</w:t>
            </w:r>
          </w:p>
        </w:tc>
        <w:tc>
          <w:tcPr>
            <w:tcW w:w="1687" w:type="dxa"/>
            <w:noWrap w:val="0"/>
            <w:vAlign w:val="top"/>
          </w:tcPr>
          <w:p w14:paraId="5C647D1F">
            <w:pPr>
              <w:pStyle w:val="2"/>
              <w:keepLines w:val="0"/>
              <w:pageBreakBefore w:val="0"/>
              <w:kinsoku/>
              <w:wordWrap/>
              <w:overflowPunct/>
              <w:topLinePunct w:val="0"/>
              <w:autoSpaceDE/>
              <w:autoSpaceDN/>
              <w:bidi w:val="0"/>
              <w:adjustRightInd/>
              <w:snapToGrid/>
              <w:spacing w:after="0" w:line="560" w:lineRule="exact"/>
              <w:jc w:val="center"/>
              <w:rPr>
                <w:rFonts w:hint="eastAsia" w:eastAsia="宋体" w:cs="Times New Roman"/>
                <w:vertAlign w:val="baseline"/>
                <w:lang w:eastAsia="zh-CN"/>
              </w:rPr>
            </w:pPr>
            <w:r>
              <w:rPr>
                <w:rFonts w:hint="eastAsia" w:eastAsia="宋体" w:cs="Times New Roman"/>
                <w:vertAlign w:val="baseline"/>
                <w:lang w:eastAsia="zh-CN"/>
              </w:rPr>
              <w:t>——</w:t>
            </w:r>
          </w:p>
        </w:tc>
        <w:tc>
          <w:tcPr>
            <w:tcW w:w="3504" w:type="dxa"/>
            <w:noWrap w:val="0"/>
            <w:vAlign w:val="top"/>
          </w:tcPr>
          <w:p w14:paraId="1F344EBE">
            <w:pPr>
              <w:pStyle w:val="2"/>
              <w:keepLines w:val="0"/>
              <w:pageBreakBefore w:val="0"/>
              <w:kinsoku/>
              <w:wordWrap/>
              <w:overflowPunct/>
              <w:topLinePunct w:val="0"/>
              <w:autoSpaceDE/>
              <w:autoSpaceDN/>
              <w:bidi w:val="0"/>
              <w:adjustRightInd/>
              <w:snapToGrid/>
              <w:spacing w:after="0" w:line="560" w:lineRule="exact"/>
              <w:jc w:val="center"/>
              <w:rPr>
                <w:rFonts w:hint="eastAsia" w:eastAsia="宋体" w:cs="Times New Roman"/>
                <w:vertAlign w:val="baseline"/>
                <w:lang w:eastAsia="zh-CN"/>
              </w:rPr>
            </w:pPr>
            <w:r>
              <w:rPr>
                <w:rFonts w:hint="eastAsia" w:eastAsia="宋体" w:cs="Times New Roman"/>
                <w:vertAlign w:val="baseline"/>
                <w:lang w:eastAsia="zh-CN"/>
              </w:rPr>
              <w:t>——</w:t>
            </w:r>
          </w:p>
        </w:tc>
      </w:tr>
      <w:tr w14:paraId="1EEB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noWrap w:val="0"/>
            <w:vAlign w:val="top"/>
          </w:tcPr>
          <w:p w14:paraId="1808836E">
            <w:pPr>
              <w:pStyle w:val="2"/>
              <w:keepLines w:val="0"/>
              <w:pageBreakBefore w:val="0"/>
              <w:kinsoku/>
              <w:wordWrap/>
              <w:overflowPunct/>
              <w:topLinePunct w:val="0"/>
              <w:autoSpaceDE/>
              <w:autoSpaceDN/>
              <w:bidi w:val="0"/>
              <w:adjustRightInd/>
              <w:snapToGrid/>
              <w:spacing w:after="0" w:line="560" w:lineRule="exact"/>
              <w:jc w:val="left"/>
              <w:rPr>
                <w:rFonts w:eastAsia="宋体" w:cs="Times New Roman"/>
                <w:vertAlign w:val="baseline"/>
              </w:rPr>
            </w:pPr>
            <w:r>
              <w:rPr>
                <w:rFonts w:hint="eastAsia" w:ascii="仿宋_GB2312" w:hAnsi="仿宋_GB2312" w:eastAsia="仿宋_GB2312" w:cs="仿宋_GB2312"/>
                <w:color w:val="060607"/>
                <w:spacing w:val="4"/>
                <w:sz w:val="32"/>
                <w:szCs w:val="32"/>
              </w:rPr>
              <w:t>拥有开展专业服务所需的经营许可、认证、资质及资格等</w:t>
            </w:r>
          </w:p>
        </w:tc>
        <w:tc>
          <w:tcPr>
            <w:tcW w:w="1687" w:type="dxa"/>
            <w:noWrap w:val="0"/>
            <w:vAlign w:val="top"/>
          </w:tcPr>
          <w:p w14:paraId="1E16B287">
            <w:pPr>
              <w:pStyle w:val="2"/>
              <w:keepLines w:val="0"/>
              <w:pageBreakBefore w:val="0"/>
              <w:kinsoku/>
              <w:wordWrap/>
              <w:overflowPunct/>
              <w:topLinePunct w:val="0"/>
              <w:autoSpaceDE/>
              <w:autoSpaceDN/>
              <w:bidi w:val="0"/>
              <w:adjustRightInd/>
              <w:snapToGrid/>
              <w:spacing w:after="0" w:line="560" w:lineRule="exact"/>
              <w:jc w:val="center"/>
              <w:rPr>
                <w:rFonts w:eastAsia="宋体" w:cs="Times New Roman"/>
                <w:vertAlign w:val="baseline"/>
              </w:rPr>
            </w:pPr>
            <w:r>
              <w:rPr>
                <w:rFonts w:hint="eastAsia" w:eastAsia="宋体" w:cs="Times New Roman"/>
                <w:vertAlign w:val="baseline"/>
                <w:lang w:eastAsia="zh-CN"/>
              </w:rPr>
              <w:t>——</w:t>
            </w:r>
          </w:p>
        </w:tc>
        <w:tc>
          <w:tcPr>
            <w:tcW w:w="3504" w:type="dxa"/>
            <w:noWrap w:val="0"/>
            <w:vAlign w:val="top"/>
          </w:tcPr>
          <w:p w14:paraId="2F876B03">
            <w:pPr>
              <w:pStyle w:val="2"/>
              <w:keepLines w:val="0"/>
              <w:pageBreakBefore w:val="0"/>
              <w:kinsoku/>
              <w:wordWrap/>
              <w:overflowPunct/>
              <w:topLinePunct w:val="0"/>
              <w:autoSpaceDE/>
              <w:autoSpaceDN/>
              <w:bidi w:val="0"/>
              <w:adjustRightInd/>
              <w:snapToGrid/>
              <w:spacing w:after="0" w:line="560" w:lineRule="exact"/>
              <w:jc w:val="center"/>
              <w:rPr>
                <w:rFonts w:hint="eastAsia" w:eastAsia="宋体" w:cs="Times New Roman"/>
                <w:vertAlign w:val="baseline"/>
                <w:lang w:eastAsia="zh-CN"/>
              </w:rPr>
            </w:pPr>
            <w:r>
              <w:rPr>
                <w:rFonts w:hint="eastAsia" w:eastAsia="宋体" w:cs="Times New Roman"/>
                <w:vertAlign w:val="baseline"/>
                <w:lang w:eastAsia="zh-CN"/>
              </w:rPr>
              <w:t>——</w:t>
            </w:r>
          </w:p>
        </w:tc>
      </w:tr>
      <w:tr w14:paraId="43F6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noWrap w:val="0"/>
            <w:vAlign w:val="top"/>
          </w:tcPr>
          <w:p w14:paraId="7B804795">
            <w:pPr>
              <w:pStyle w:val="2"/>
              <w:keepLines w:val="0"/>
              <w:pageBreakBefore w:val="0"/>
              <w:kinsoku/>
              <w:wordWrap/>
              <w:overflowPunct/>
              <w:topLinePunct w:val="0"/>
              <w:autoSpaceDE/>
              <w:autoSpaceDN/>
              <w:bidi w:val="0"/>
              <w:adjustRightInd/>
              <w:snapToGrid/>
              <w:spacing w:after="0" w:line="560" w:lineRule="exact"/>
              <w:jc w:val="left"/>
              <w:rPr>
                <w:rFonts w:eastAsia="宋体" w:cs="Times New Roman"/>
                <w:vertAlign w:val="baseline"/>
              </w:rPr>
            </w:pPr>
            <w:r>
              <w:rPr>
                <w:rFonts w:hint="eastAsia" w:ascii="仿宋_GB2312" w:hAnsi="仿宋_GB2312" w:eastAsia="仿宋_GB2312" w:cs="仿宋_GB2312"/>
                <w:color w:val="060607"/>
                <w:spacing w:val="4"/>
                <w:sz w:val="32"/>
                <w:szCs w:val="32"/>
                <w:lang w:eastAsia="zh-CN"/>
              </w:rPr>
              <w:t>法人</w:t>
            </w:r>
            <w:r>
              <w:rPr>
                <w:rFonts w:hint="eastAsia" w:ascii="仿宋_GB2312" w:hAnsi="仿宋_GB2312" w:eastAsia="仿宋_GB2312" w:cs="仿宋_GB2312"/>
                <w:color w:val="060607"/>
                <w:spacing w:val="4"/>
                <w:sz w:val="32"/>
                <w:szCs w:val="32"/>
              </w:rPr>
              <w:t>未被纳入失信被执行人名单</w:t>
            </w:r>
          </w:p>
        </w:tc>
        <w:tc>
          <w:tcPr>
            <w:tcW w:w="1687" w:type="dxa"/>
            <w:noWrap w:val="0"/>
            <w:vAlign w:val="top"/>
          </w:tcPr>
          <w:p w14:paraId="361D86BB">
            <w:pPr>
              <w:pStyle w:val="2"/>
              <w:keepLines w:val="0"/>
              <w:pageBreakBefore w:val="0"/>
              <w:kinsoku/>
              <w:wordWrap/>
              <w:overflowPunct/>
              <w:topLinePunct w:val="0"/>
              <w:autoSpaceDE/>
              <w:autoSpaceDN/>
              <w:bidi w:val="0"/>
              <w:adjustRightInd/>
              <w:snapToGrid/>
              <w:spacing w:after="0" w:line="560" w:lineRule="exact"/>
              <w:jc w:val="center"/>
              <w:rPr>
                <w:rFonts w:eastAsia="宋体" w:cs="Times New Roman"/>
                <w:vertAlign w:val="baseline"/>
              </w:rPr>
            </w:pPr>
            <w:r>
              <w:rPr>
                <w:rFonts w:hint="eastAsia" w:eastAsia="宋体" w:cs="Times New Roman"/>
                <w:vertAlign w:val="baseline"/>
                <w:lang w:eastAsia="zh-CN"/>
              </w:rPr>
              <w:t>——</w:t>
            </w:r>
          </w:p>
        </w:tc>
        <w:tc>
          <w:tcPr>
            <w:tcW w:w="3504" w:type="dxa"/>
            <w:noWrap w:val="0"/>
            <w:vAlign w:val="top"/>
          </w:tcPr>
          <w:p w14:paraId="007584BA">
            <w:pPr>
              <w:pStyle w:val="2"/>
              <w:keepLines w:val="0"/>
              <w:pageBreakBefore w:val="0"/>
              <w:kinsoku/>
              <w:wordWrap/>
              <w:overflowPunct/>
              <w:topLinePunct w:val="0"/>
              <w:autoSpaceDE/>
              <w:autoSpaceDN/>
              <w:bidi w:val="0"/>
              <w:adjustRightInd/>
              <w:snapToGrid/>
              <w:spacing w:after="0" w:line="560" w:lineRule="exact"/>
              <w:jc w:val="center"/>
              <w:rPr>
                <w:rFonts w:hint="eastAsia" w:eastAsia="宋体" w:cs="Times New Roman"/>
                <w:vertAlign w:val="baseline"/>
                <w:lang w:eastAsia="zh-CN"/>
              </w:rPr>
            </w:pPr>
            <w:r>
              <w:rPr>
                <w:rFonts w:hint="eastAsia" w:eastAsia="宋体" w:cs="Times New Roman"/>
                <w:vertAlign w:val="baseline"/>
                <w:lang w:eastAsia="zh-CN"/>
              </w:rPr>
              <w:t>——</w:t>
            </w:r>
          </w:p>
        </w:tc>
      </w:tr>
      <w:tr w14:paraId="4671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noWrap w:val="0"/>
            <w:vAlign w:val="top"/>
          </w:tcPr>
          <w:p w14:paraId="0E171E29">
            <w:pPr>
              <w:pStyle w:val="2"/>
              <w:keepLines w:val="0"/>
              <w:pageBreakBefore w:val="0"/>
              <w:kinsoku/>
              <w:wordWrap/>
              <w:overflowPunct/>
              <w:topLinePunct w:val="0"/>
              <w:autoSpaceDE/>
              <w:autoSpaceDN/>
              <w:bidi w:val="0"/>
              <w:adjustRightInd/>
              <w:snapToGrid/>
              <w:spacing w:after="0" w:line="560" w:lineRule="exact"/>
              <w:jc w:val="left"/>
              <w:rPr>
                <w:rFonts w:eastAsia="宋体" w:cs="Times New Roman"/>
                <w:vertAlign w:val="baseline"/>
              </w:rPr>
            </w:pPr>
            <w:r>
              <w:rPr>
                <w:rFonts w:hint="eastAsia" w:ascii="仿宋_GB2312" w:hAnsi="仿宋_GB2312" w:eastAsia="仿宋_GB2312" w:cs="仿宋_GB2312"/>
                <w:color w:val="060607"/>
                <w:spacing w:val="4"/>
                <w:sz w:val="32"/>
                <w:szCs w:val="32"/>
                <w:lang w:val="en-US" w:eastAsia="zh-CN"/>
              </w:rPr>
              <w:t>2024年</w:t>
            </w:r>
            <w:r>
              <w:rPr>
                <w:rFonts w:hint="eastAsia" w:ascii="仿宋_GB2312" w:hAnsi="仿宋_GB2312" w:eastAsia="仿宋_GB2312" w:cs="仿宋_GB2312"/>
                <w:color w:val="060607"/>
                <w:spacing w:val="4"/>
                <w:sz w:val="32"/>
                <w:szCs w:val="32"/>
              </w:rPr>
              <w:t>服务企业合同量不少于25份</w:t>
            </w:r>
          </w:p>
        </w:tc>
        <w:tc>
          <w:tcPr>
            <w:tcW w:w="1687" w:type="dxa"/>
            <w:noWrap w:val="0"/>
            <w:vAlign w:val="top"/>
          </w:tcPr>
          <w:p w14:paraId="3B5B092D">
            <w:pPr>
              <w:pStyle w:val="2"/>
              <w:keepLines w:val="0"/>
              <w:pageBreakBefore w:val="0"/>
              <w:kinsoku/>
              <w:wordWrap/>
              <w:overflowPunct/>
              <w:topLinePunct w:val="0"/>
              <w:autoSpaceDE/>
              <w:autoSpaceDN/>
              <w:bidi w:val="0"/>
              <w:adjustRightInd/>
              <w:snapToGrid/>
              <w:spacing w:after="0" w:line="560" w:lineRule="exact"/>
              <w:jc w:val="center"/>
              <w:rPr>
                <w:rFonts w:eastAsia="宋体" w:cs="Times New Roman"/>
                <w:vertAlign w:val="baseline"/>
              </w:rPr>
            </w:pPr>
            <w:r>
              <w:rPr>
                <w:rFonts w:hint="eastAsia" w:eastAsia="宋体" w:cs="Times New Roman"/>
                <w:vertAlign w:val="baseline"/>
                <w:lang w:eastAsia="zh-CN"/>
              </w:rPr>
              <w:t>——</w:t>
            </w:r>
          </w:p>
        </w:tc>
        <w:tc>
          <w:tcPr>
            <w:tcW w:w="3504" w:type="dxa"/>
            <w:noWrap w:val="0"/>
            <w:vAlign w:val="top"/>
          </w:tcPr>
          <w:p w14:paraId="2DE6C8B1">
            <w:pPr>
              <w:pStyle w:val="2"/>
              <w:keepLines w:val="0"/>
              <w:pageBreakBefore w:val="0"/>
              <w:kinsoku/>
              <w:wordWrap/>
              <w:overflowPunct/>
              <w:topLinePunct w:val="0"/>
              <w:autoSpaceDE/>
              <w:autoSpaceDN/>
              <w:bidi w:val="0"/>
              <w:adjustRightInd/>
              <w:snapToGrid/>
              <w:spacing w:after="0" w:line="560" w:lineRule="exact"/>
              <w:jc w:val="center"/>
              <w:rPr>
                <w:rFonts w:hint="eastAsia" w:eastAsia="宋体" w:cs="Times New Roman"/>
                <w:vertAlign w:val="baseline"/>
                <w:lang w:eastAsia="zh-CN"/>
              </w:rPr>
            </w:pPr>
            <w:r>
              <w:rPr>
                <w:rFonts w:hint="eastAsia" w:eastAsia="宋体" w:cs="Times New Roman"/>
                <w:vertAlign w:val="baseline"/>
                <w:lang w:eastAsia="zh-CN"/>
              </w:rPr>
              <w:t>——</w:t>
            </w:r>
          </w:p>
        </w:tc>
      </w:tr>
      <w:tr w14:paraId="771E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7" w:type="dxa"/>
            <w:gridSpan w:val="3"/>
            <w:noWrap w:val="0"/>
            <w:vAlign w:val="top"/>
          </w:tcPr>
          <w:p w14:paraId="26E5F934">
            <w:pPr>
              <w:pStyle w:val="2"/>
              <w:keepLines w:val="0"/>
              <w:pageBreakBefore w:val="0"/>
              <w:kinsoku/>
              <w:wordWrap/>
              <w:overflowPunct/>
              <w:topLinePunct w:val="0"/>
              <w:autoSpaceDE/>
              <w:autoSpaceDN/>
              <w:bidi w:val="0"/>
              <w:adjustRightInd/>
              <w:snapToGrid/>
              <w:spacing w:after="0" w:line="560" w:lineRule="exact"/>
              <w:jc w:val="center"/>
              <w:rPr>
                <w:rFonts w:hint="eastAsia" w:ascii="楷体_GB2312" w:hAnsi="楷体_GB2312" w:eastAsia="楷体_GB2312" w:cs="楷体_GB2312"/>
                <w:color w:val="060607"/>
                <w:spacing w:val="4"/>
                <w:sz w:val="32"/>
                <w:szCs w:val="32"/>
                <w:lang w:eastAsia="zh-CN"/>
              </w:rPr>
            </w:pPr>
            <w:r>
              <w:rPr>
                <w:rFonts w:hint="eastAsia" w:ascii="楷体_GB2312" w:hAnsi="楷体_GB2312" w:eastAsia="楷体_GB2312" w:cs="楷体_GB2312"/>
                <w:color w:val="060607"/>
                <w:spacing w:val="4"/>
                <w:sz w:val="32"/>
                <w:szCs w:val="32"/>
                <w:lang w:eastAsia="zh-CN"/>
              </w:rPr>
              <w:t>加分项</w:t>
            </w:r>
          </w:p>
        </w:tc>
      </w:tr>
      <w:tr w14:paraId="5194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noWrap w:val="0"/>
            <w:vAlign w:val="top"/>
          </w:tcPr>
          <w:p w14:paraId="25FC4D4F">
            <w:pPr>
              <w:keepLines w:val="0"/>
              <w:pageBreakBefore w:val="0"/>
              <w:kinsoku/>
              <w:wordWrap/>
              <w:overflowPunct/>
              <w:topLinePunct w:val="0"/>
              <w:autoSpaceDE/>
              <w:autoSpaceDN/>
              <w:bidi w:val="0"/>
              <w:adjustRightInd/>
              <w:snapToGrid/>
              <w:spacing w:line="560" w:lineRule="exact"/>
              <w:rPr>
                <w:rFonts w:eastAsia="宋体" w:cs="Times New Roman"/>
              </w:rPr>
            </w:pPr>
          </w:p>
        </w:tc>
        <w:tc>
          <w:tcPr>
            <w:tcW w:w="1687" w:type="dxa"/>
            <w:noWrap w:val="0"/>
            <w:vAlign w:val="top"/>
          </w:tcPr>
          <w:p w14:paraId="21C5A3CA">
            <w:pPr>
              <w:keepLines w:val="0"/>
              <w:pageBreakBefore w:val="0"/>
              <w:kinsoku/>
              <w:wordWrap/>
              <w:overflowPunct/>
              <w:topLinePunct w:val="0"/>
              <w:autoSpaceDE/>
              <w:autoSpaceDN/>
              <w:bidi w:val="0"/>
              <w:adjustRightInd/>
              <w:snapToGrid/>
              <w:spacing w:line="560" w:lineRule="exact"/>
              <w:rPr>
                <w:rFonts w:eastAsia="宋体" w:cs="Times New Roman"/>
              </w:rPr>
            </w:pPr>
          </w:p>
        </w:tc>
        <w:tc>
          <w:tcPr>
            <w:tcW w:w="3504" w:type="dxa"/>
            <w:noWrap w:val="0"/>
            <w:vAlign w:val="top"/>
          </w:tcPr>
          <w:p w14:paraId="18A7283D">
            <w:pPr>
              <w:keepLines w:val="0"/>
              <w:pageBreakBefore w:val="0"/>
              <w:kinsoku/>
              <w:wordWrap/>
              <w:overflowPunct/>
              <w:topLinePunct w:val="0"/>
              <w:autoSpaceDE/>
              <w:autoSpaceDN/>
              <w:bidi w:val="0"/>
              <w:adjustRightInd/>
              <w:snapToGrid/>
              <w:spacing w:line="560" w:lineRule="exact"/>
              <w:rPr>
                <w:rFonts w:eastAsia="宋体" w:cs="Times New Roman"/>
              </w:rPr>
            </w:pPr>
          </w:p>
        </w:tc>
      </w:tr>
      <w:tr w14:paraId="7732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dxa"/>
            <w:noWrap w:val="0"/>
            <w:vAlign w:val="top"/>
          </w:tcPr>
          <w:p w14:paraId="68B3E6CE">
            <w:pPr>
              <w:pStyle w:val="2"/>
              <w:keepLines w:val="0"/>
              <w:pageBreakBefore w:val="0"/>
              <w:kinsoku/>
              <w:wordWrap/>
              <w:overflowPunct/>
              <w:topLinePunct w:val="0"/>
              <w:autoSpaceDE/>
              <w:autoSpaceDN/>
              <w:bidi w:val="0"/>
              <w:adjustRightInd/>
              <w:snapToGrid/>
              <w:spacing w:after="0" w:line="560" w:lineRule="exact"/>
              <w:jc w:val="left"/>
              <w:rPr>
                <w:rFonts w:hint="eastAsia" w:ascii="仿宋_GB2312" w:hAnsi="仿宋_GB2312" w:eastAsia="仿宋_GB2312" w:cs="仿宋_GB2312"/>
                <w:color w:val="060607"/>
                <w:spacing w:val="4"/>
                <w:sz w:val="32"/>
                <w:szCs w:val="32"/>
              </w:rPr>
            </w:pPr>
            <w:r>
              <w:rPr>
                <w:rFonts w:hint="eastAsia" w:ascii="仿宋_GB2312" w:hAnsi="仿宋_GB2312" w:eastAsia="仿宋_GB2312" w:cs="仿宋_GB2312"/>
                <w:color w:val="060607"/>
                <w:spacing w:val="4"/>
                <w:sz w:val="32"/>
                <w:szCs w:val="32"/>
              </w:rPr>
              <w:t>服务过外资企业、上市企业</w:t>
            </w:r>
            <w:r>
              <w:rPr>
                <w:rFonts w:hint="eastAsia" w:ascii="仿宋_GB2312" w:hAnsi="仿宋_GB2312" w:eastAsia="仿宋_GB2312" w:cs="仿宋_GB2312"/>
                <w:color w:val="060607"/>
                <w:spacing w:val="4"/>
                <w:sz w:val="32"/>
                <w:szCs w:val="32"/>
                <w:lang w:eastAsia="zh-CN"/>
              </w:rPr>
              <w:t>、</w:t>
            </w:r>
            <w:r>
              <w:rPr>
                <w:rFonts w:hint="eastAsia" w:ascii="仿宋_GB2312" w:hAnsi="仿宋_GB2312" w:eastAsia="仿宋_GB2312" w:cs="仿宋_GB2312"/>
                <w:color w:val="060607"/>
                <w:spacing w:val="4"/>
                <w:sz w:val="32"/>
                <w:szCs w:val="32"/>
              </w:rPr>
              <w:t>深圳市“专精特新”中小企业、国家级“小巨人”企业</w:t>
            </w:r>
          </w:p>
        </w:tc>
        <w:tc>
          <w:tcPr>
            <w:tcW w:w="1687" w:type="dxa"/>
            <w:noWrap w:val="0"/>
            <w:vAlign w:val="center"/>
          </w:tcPr>
          <w:p w14:paraId="701BA293">
            <w:pPr>
              <w:pStyle w:val="2"/>
              <w:keepLines w:val="0"/>
              <w:pageBreakBefore w:val="0"/>
              <w:kinsoku/>
              <w:wordWrap/>
              <w:overflowPunct/>
              <w:topLinePunct w:val="0"/>
              <w:autoSpaceDE/>
              <w:autoSpaceDN/>
              <w:bidi w:val="0"/>
              <w:adjustRightInd/>
              <w:snapToGrid/>
              <w:spacing w:after="0" w:line="560" w:lineRule="exact"/>
              <w:jc w:val="center"/>
              <w:rPr>
                <w:rFonts w:hint="default" w:ascii="仿宋_GB2312" w:hAnsi="仿宋_GB2312" w:eastAsia="仿宋_GB2312" w:cs="仿宋_GB2312"/>
                <w:sz w:val="32"/>
                <w:szCs w:val="40"/>
                <w:vertAlign w:val="baseline"/>
                <w:lang w:val="en-US" w:eastAsia="zh-CN"/>
              </w:rPr>
            </w:pPr>
            <w:r>
              <w:rPr>
                <w:rFonts w:hint="eastAsia" w:ascii="仿宋_GB2312" w:hAnsi="仿宋_GB2312" w:eastAsia="仿宋_GB2312" w:cs="仿宋_GB2312"/>
                <w:sz w:val="32"/>
                <w:szCs w:val="40"/>
                <w:vertAlign w:val="baseline"/>
                <w:lang w:val="en-US" w:eastAsia="zh-CN"/>
              </w:rPr>
              <w:t>100</w:t>
            </w:r>
          </w:p>
        </w:tc>
        <w:tc>
          <w:tcPr>
            <w:tcW w:w="3504" w:type="dxa"/>
            <w:noWrap w:val="0"/>
            <w:vAlign w:val="center"/>
          </w:tcPr>
          <w:p w14:paraId="1B59E936">
            <w:pPr>
              <w:pStyle w:val="5"/>
              <w:keepLines w:val="0"/>
              <w:pageBreakBefore w:val="0"/>
              <w:kinsoku/>
              <w:wordWrap/>
              <w:overflowPunct/>
              <w:topLinePunct w:val="0"/>
              <w:autoSpaceDE/>
              <w:autoSpaceDN/>
              <w:bidi w:val="0"/>
              <w:adjustRightInd/>
              <w:snapToGrid/>
              <w:spacing w:line="560" w:lineRule="exact"/>
              <w:rPr>
                <w:rFonts w:eastAsia="宋体" w:cs="Times New Roman"/>
                <w:color w:val="auto"/>
              </w:rPr>
            </w:pPr>
            <w:r>
              <w:rPr>
                <w:rFonts w:hint="eastAsia" w:eastAsia="宋体" w:cs="Times New Roman"/>
                <w:color w:val="auto"/>
              </w:rPr>
              <w:t>近3年承接外资企业、上市企业、深圳市“专精特新”中小企业、国家级“小巨人”企业等相关项目业绩。</w:t>
            </w:r>
            <w:r>
              <w:rPr>
                <w:rFonts w:hint="eastAsia" w:ascii="宋体" w:hAnsi="宋体" w:eastAsia="宋体" w:cs="Times New Roman"/>
                <w:color w:val="auto"/>
                <w:szCs w:val="21"/>
                <w:highlight w:val="none"/>
              </w:rPr>
              <w:t>每提供一项得</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u w:val="single"/>
                <w:lang w:val="en-US" w:eastAsia="zh-CN"/>
              </w:rPr>
              <w:t xml:space="preserve">25 </w:t>
            </w:r>
            <w:r>
              <w:rPr>
                <w:rFonts w:hint="eastAsia" w:ascii="宋体" w:hAnsi="宋体" w:eastAsia="宋体" w:cs="Times New Roman"/>
                <w:color w:val="auto"/>
                <w:szCs w:val="21"/>
                <w:highlight w:val="none"/>
              </w:rPr>
              <w:t>分，最高得</w:t>
            </w:r>
            <w:r>
              <w:rPr>
                <w:rFonts w:hint="eastAsia" w:ascii="宋体" w:hAnsi="宋体" w:eastAsia="宋体" w:cs="Times New Roman"/>
                <w:color w:val="auto"/>
                <w:szCs w:val="21"/>
                <w:highlight w:val="none"/>
                <w:u w:val="single"/>
                <w:lang w:val="en-US" w:eastAsia="zh-CN"/>
              </w:rPr>
              <w:t>100</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rPr>
              <w:t xml:space="preserve"> </w:t>
            </w:r>
          </w:p>
          <w:p w14:paraId="30FF081E">
            <w:pPr>
              <w:keepLines w:val="0"/>
              <w:pageBreakBefore w:val="0"/>
              <w:kinsoku/>
              <w:wordWrap/>
              <w:overflowPunct/>
              <w:topLinePunct w:val="0"/>
              <w:autoSpaceDE/>
              <w:autoSpaceDN/>
              <w:bidi w:val="0"/>
              <w:adjustRightInd/>
              <w:snapToGrid/>
              <w:spacing w:line="560" w:lineRule="exact"/>
              <w:rPr>
                <w:rFonts w:ascii="宋体" w:hAnsi="宋体" w:eastAsia="宋体" w:cs="Times New Roman"/>
                <w:b/>
                <w:color w:val="auto"/>
                <w:szCs w:val="21"/>
              </w:rPr>
            </w:pPr>
            <w:r>
              <w:rPr>
                <w:rFonts w:hint="eastAsia" w:ascii="宋体" w:hAnsi="宋体" w:eastAsia="宋体" w:cs="Times New Roman"/>
                <w:b/>
                <w:color w:val="auto"/>
                <w:szCs w:val="21"/>
              </w:rPr>
              <w:t xml:space="preserve">有效业绩定义： </w:t>
            </w:r>
          </w:p>
          <w:p w14:paraId="5050D4A8">
            <w:pPr>
              <w:keepLines w:val="0"/>
              <w:pageBreakBefore w:val="0"/>
              <w:kinsoku/>
              <w:wordWrap/>
              <w:overflowPunct/>
              <w:topLinePunct w:val="0"/>
              <w:autoSpaceDE/>
              <w:autoSpaceDN/>
              <w:bidi w:val="0"/>
              <w:adjustRightInd/>
              <w:snapToGrid/>
              <w:spacing w:line="560" w:lineRule="exact"/>
              <w:jc w:val="left"/>
              <w:rPr>
                <w:rFonts w:ascii="宋体" w:hAnsi="宋体" w:eastAsia="宋体" w:cs="Times New Roman"/>
                <w:color w:val="auto"/>
                <w:szCs w:val="21"/>
                <w:highlight w:val="none"/>
              </w:rPr>
            </w:pPr>
            <w:r>
              <w:rPr>
                <w:rFonts w:hint="eastAsia" w:ascii="宋体" w:hAnsi="宋体" w:eastAsia="宋体" w:cs="Times New Roman"/>
                <w:color w:val="auto"/>
                <w:szCs w:val="21"/>
              </w:rPr>
              <w:t>1）须为</w:t>
            </w:r>
            <w:r>
              <w:rPr>
                <w:rFonts w:hint="eastAsia" w:ascii="宋体" w:hAnsi="宋体" w:eastAsia="宋体" w:cs="Times New Roman"/>
                <w:color w:val="auto"/>
                <w:szCs w:val="21"/>
                <w:lang w:val="en-US" w:eastAsia="zh-CN"/>
              </w:rPr>
              <w:t>服务</w:t>
            </w:r>
            <w:r>
              <w:rPr>
                <w:rFonts w:ascii="宋体" w:hAnsi="宋体" w:eastAsia="宋体" w:cs="Times New Roman"/>
                <w:color w:val="auto"/>
                <w:szCs w:val="21"/>
              </w:rPr>
              <w:t>商自行承接的项目（直接与甲方签约，非转包、分包项目）；</w:t>
            </w:r>
          </w:p>
          <w:p w14:paraId="3F84594A">
            <w:pPr>
              <w:keepLines w:val="0"/>
              <w:pageBreakBefore w:val="0"/>
              <w:widowControl/>
              <w:kinsoku/>
              <w:wordWrap/>
              <w:overflowPunct/>
              <w:topLinePunct w:val="0"/>
              <w:autoSpaceDE/>
              <w:autoSpaceDN/>
              <w:bidi w:val="0"/>
              <w:adjustRightInd/>
              <w:snapToGrid/>
              <w:spacing w:line="560" w:lineRule="exact"/>
              <w:textAlignment w:val="center"/>
              <w:rPr>
                <w:rFonts w:ascii="宋体" w:hAnsi="宋体" w:eastAsia="宋体" w:cs="Times New Roman"/>
                <w:color w:val="auto"/>
                <w:szCs w:val="21"/>
              </w:rPr>
            </w:pPr>
            <w:r>
              <w:rPr>
                <w:rFonts w:ascii="宋体" w:hAnsi="宋体" w:eastAsia="宋体" w:cs="Times New Roman"/>
                <w:color w:val="auto"/>
                <w:szCs w:val="21"/>
              </w:rPr>
              <w:t>2）业绩内容</w:t>
            </w:r>
            <w:r>
              <w:rPr>
                <w:rFonts w:hint="eastAsia" w:ascii="宋体" w:hAnsi="宋体" w:eastAsia="宋体" w:cs="Times New Roman"/>
                <w:color w:val="auto"/>
                <w:szCs w:val="21"/>
                <w:lang w:val="en-US" w:eastAsia="zh-CN"/>
              </w:rPr>
              <w:t>对象</w:t>
            </w:r>
            <w:r>
              <w:rPr>
                <w:rFonts w:ascii="宋体" w:hAnsi="宋体" w:eastAsia="宋体" w:cs="Times New Roman"/>
                <w:color w:val="auto"/>
                <w:szCs w:val="21"/>
              </w:rPr>
              <w:t>为：</w:t>
            </w:r>
            <w:r>
              <w:rPr>
                <w:rFonts w:hint="eastAsia" w:ascii="宋体" w:hAnsi="宋体" w:eastAsia="宋体" w:cs="Times New Roman"/>
                <w:color w:val="auto"/>
                <w:szCs w:val="21"/>
                <w:lang w:val="en-US" w:eastAsia="zh-CN"/>
              </w:rPr>
              <w:t>承接的</w:t>
            </w:r>
            <w:r>
              <w:rPr>
                <w:rFonts w:hint="eastAsia" w:eastAsia="宋体" w:cs="Times New Roman"/>
                <w:color w:val="auto"/>
              </w:rPr>
              <w:t>外资企业、上市企业、深圳市“专精特新”中小企业、国家级“小巨人”企业等企业服务等相关项目</w:t>
            </w:r>
            <w:r>
              <w:rPr>
                <w:rFonts w:hint="eastAsia" w:eastAsia="宋体" w:cs="Times New Roman"/>
                <w:color w:val="auto"/>
                <w:lang w:eastAsia="zh-CN"/>
              </w:rPr>
              <w:t>；</w:t>
            </w:r>
          </w:p>
          <w:p w14:paraId="35FB6B1D">
            <w:pPr>
              <w:keepLines w:val="0"/>
              <w:pageBreakBefore w:val="0"/>
              <w:widowControl/>
              <w:kinsoku/>
              <w:wordWrap/>
              <w:overflowPunct/>
              <w:topLinePunct w:val="0"/>
              <w:autoSpaceDE/>
              <w:autoSpaceDN/>
              <w:bidi w:val="0"/>
              <w:adjustRightInd/>
              <w:snapToGrid/>
              <w:spacing w:line="560" w:lineRule="exact"/>
              <w:textAlignment w:val="center"/>
              <w:rPr>
                <w:rFonts w:eastAsia="宋体" w:cs="Times New Roman"/>
                <w:color w:val="auto"/>
                <w:szCs w:val="21"/>
              </w:rPr>
            </w:pPr>
            <w:r>
              <w:rPr>
                <w:rFonts w:eastAsia="宋体" w:cs="Times New Roman"/>
                <w:color w:val="auto"/>
                <w:szCs w:val="21"/>
              </w:rPr>
              <w:t>3）</w:t>
            </w:r>
            <w:r>
              <w:rPr>
                <w:rFonts w:hint="eastAsia" w:ascii="宋体" w:hAnsi="宋体" w:eastAsia="宋体" w:cs="Times New Roman"/>
                <w:color w:val="auto"/>
                <w:szCs w:val="21"/>
              </w:rPr>
              <w:t>合同签订时间为：</w:t>
            </w:r>
            <w:r>
              <w:rPr>
                <w:rFonts w:hint="eastAsia" w:ascii="宋体" w:hAnsi="宋体" w:eastAsia="宋体" w:cs="Times New Roman"/>
                <w:color w:val="auto"/>
                <w:szCs w:val="21"/>
                <w:lang w:val="en-US" w:eastAsia="zh-CN"/>
              </w:rPr>
              <w:t>截止招募日期近三年</w:t>
            </w:r>
            <w:r>
              <w:rPr>
                <w:rFonts w:hint="eastAsia" w:ascii="宋体" w:hAnsi="宋体" w:eastAsia="宋体" w:cs="Times New Roman"/>
                <w:color w:val="auto"/>
                <w:szCs w:val="21"/>
              </w:rPr>
              <w:t>；</w:t>
            </w:r>
          </w:p>
          <w:p w14:paraId="4C949F19">
            <w:pPr>
              <w:keepLines w:val="0"/>
              <w:pageBreakBefore w:val="0"/>
              <w:widowControl/>
              <w:kinsoku/>
              <w:wordWrap/>
              <w:overflowPunct/>
              <w:topLinePunct w:val="0"/>
              <w:autoSpaceDE/>
              <w:autoSpaceDN/>
              <w:bidi w:val="0"/>
              <w:adjustRightInd/>
              <w:snapToGrid/>
              <w:spacing w:line="560" w:lineRule="exact"/>
              <w:textAlignment w:val="center"/>
              <w:rPr>
                <w:rFonts w:eastAsia="宋体" w:cs="Times New Roman"/>
                <w:color w:val="auto"/>
                <w:szCs w:val="21"/>
              </w:rPr>
            </w:pPr>
            <w:r>
              <w:rPr>
                <w:rFonts w:eastAsia="宋体" w:cs="Times New Roman"/>
                <w:color w:val="auto"/>
                <w:szCs w:val="21"/>
              </w:rPr>
              <w:t>4）同一项目的续签合同不能作为有效合同业绩。</w:t>
            </w:r>
          </w:p>
          <w:p w14:paraId="264DC388">
            <w:pPr>
              <w:keepLines w:val="0"/>
              <w:pageBreakBefore w:val="0"/>
              <w:kinsoku/>
              <w:wordWrap/>
              <w:overflowPunct/>
              <w:topLinePunct w:val="0"/>
              <w:autoSpaceDE/>
              <w:autoSpaceDN/>
              <w:bidi w:val="0"/>
              <w:adjustRightInd/>
              <w:snapToGrid/>
              <w:spacing w:line="560" w:lineRule="exact"/>
              <w:rPr>
                <w:rFonts w:ascii="宋体" w:hAnsi="宋体" w:eastAsia="宋体" w:cs="Times New Roman"/>
                <w:b/>
                <w:color w:val="auto"/>
                <w:szCs w:val="21"/>
              </w:rPr>
            </w:pPr>
            <w:r>
              <w:rPr>
                <w:rFonts w:hint="eastAsia" w:ascii="宋体" w:hAnsi="宋体" w:eastAsia="宋体" w:cs="Times New Roman"/>
                <w:b/>
                <w:color w:val="auto"/>
                <w:szCs w:val="21"/>
              </w:rPr>
              <w:t>证明文件：</w:t>
            </w:r>
          </w:p>
          <w:p w14:paraId="02B12F83">
            <w:pPr>
              <w:pStyle w:val="2"/>
              <w:keepLines w:val="0"/>
              <w:pageBreakBefore w:val="0"/>
              <w:kinsoku/>
              <w:wordWrap/>
              <w:overflowPunct/>
              <w:topLinePunct w:val="0"/>
              <w:autoSpaceDE/>
              <w:autoSpaceDN/>
              <w:bidi w:val="0"/>
              <w:adjustRightInd/>
              <w:snapToGrid/>
              <w:spacing w:after="0" w:line="560" w:lineRule="exact"/>
              <w:jc w:val="left"/>
              <w:rPr>
                <w:rFonts w:hint="eastAsia" w:ascii="仿宋_GB2312" w:hAnsi="仿宋_GB2312" w:eastAsia="仿宋_GB2312" w:cs="仿宋_GB2312"/>
                <w:sz w:val="32"/>
                <w:szCs w:val="40"/>
                <w:vertAlign w:val="baseline"/>
                <w:lang w:val="en-US" w:eastAsia="zh-CN"/>
              </w:rPr>
            </w:pPr>
            <w:r>
              <w:rPr>
                <w:rFonts w:hint="eastAsia" w:eastAsia="宋体" w:cs="Times New Roman"/>
                <w:color w:val="auto"/>
                <w:szCs w:val="21"/>
              </w:rPr>
              <w:t>投标人提供的每项业绩须按以下要求提供完整准确的证明文件，如未按以下要求提供完整证明文件的业绩不计分（一年一签的长期服务续签合</w:t>
            </w:r>
            <w:r>
              <w:rPr>
                <w:rFonts w:hint="eastAsia" w:ascii="宋体" w:hAnsi="宋体" w:eastAsia="宋体" w:cs="Times New Roman"/>
                <w:color w:val="auto"/>
                <w:szCs w:val="21"/>
              </w:rPr>
              <w:t>同只计算一个业绩）。</w:t>
            </w:r>
            <w:r>
              <w:rPr>
                <w:rFonts w:hint="eastAsia" w:ascii="宋体" w:hAnsi="宋体" w:eastAsia="宋体" w:cs="Times New Roman"/>
                <w:color w:val="auto"/>
                <w:szCs w:val="21"/>
                <w:lang w:val="en-US" w:eastAsia="zh-CN"/>
              </w:rPr>
              <w:t>要求：</w:t>
            </w:r>
            <w:r>
              <w:rPr>
                <w:rFonts w:hint="eastAsia" w:ascii="宋体" w:hAnsi="宋体" w:eastAsia="宋体" w:cs="Times New Roman"/>
                <w:color w:val="auto"/>
                <w:szCs w:val="21"/>
              </w:rPr>
              <w:t>提供合同关键页扫描件（关键信息包括但不仅限于合同的项目名称和合同服务的起止时间和签订日期）。</w:t>
            </w:r>
          </w:p>
        </w:tc>
      </w:tr>
    </w:tbl>
    <w:p w14:paraId="710630F4">
      <w:pPr>
        <w:pStyle w:val="2"/>
        <w:keepLines w:val="0"/>
        <w:pageBreakBefore w:val="0"/>
        <w:kinsoku/>
        <w:wordWrap/>
        <w:overflowPunct/>
        <w:topLinePunct w:val="0"/>
        <w:autoSpaceDE/>
        <w:autoSpaceDN/>
        <w:bidi w:val="0"/>
        <w:adjustRightInd/>
        <w:snapToGrid/>
        <w:spacing w:line="560" w:lineRule="exact"/>
        <w:rPr>
          <w:rFonts w:hint="eastAsia" w:eastAsia="宋体" w:cs="Times New Roman"/>
          <w:sz w:val="22"/>
          <w:szCs w:val="28"/>
          <w:lang w:val="en-US" w:eastAsia="zh-CN"/>
        </w:rPr>
      </w:pPr>
    </w:p>
    <w:p w14:paraId="616DECD2">
      <w:pPr>
        <w:pStyle w:val="2"/>
        <w:keepLines w:val="0"/>
        <w:pageBreakBefore w:val="0"/>
        <w:kinsoku/>
        <w:wordWrap/>
        <w:overflowPunct/>
        <w:topLinePunct w:val="0"/>
        <w:autoSpaceDE/>
        <w:autoSpaceDN/>
        <w:bidi w:val="0"/>
        <w:adjustRightInd/>
        <w:snapToGrid/>
        <w:spacing w:line="560" w:lineRule="exact"/>
        <w:rPr>
          <w:rFonts w:hint="default" w:eastAsia="宋体" w:cs="Times New Roman"/>
          <w:sz w:val="22"/>
          <w:szCs w:val="28"/>
          <w:lang w:val="en-US" w:eastAsia="zh-CN"/>
        </w:rPr>
      </w:pPr>
      <w:r>
        <w:rPr>
          <w:rFonts w:hint="eastAsia" w:eastAsia="宋体" w:cs="Times New Roman"/>
          <w:sz w:val="22"/>
          <w:szCs w:val="28"/>
          <w:lang w:val="en-US" w:eastAsia="zh-CN"/>
        </w:rPr>
        <w:t>备注：如同一个行业申请的专业服务机构超过可容纳总量，则按照此评分细则中的加分项进行评分，择优选择。</w:t>
      </w:r>
    </w:p>
    <w:p w14:paraId="1EA8B99A">
      <w:pPr>
        <w:keepLines w:val="0"/>
        <w:pageBreakBefore w:val="0"/>
        <w:kinsoku/>
        <w:wordWrap/>
        <w:overflowPunct/>
        <w:topLinePunct w:val="0"/>
        <w:autoSpaceDE/>
        <w:autoSpaceDN/>
        <w:bidi w:val="0"/>
        <w:adjustRightInd/>
        <w:snapToGrid/>
        <w:spacing w:line="560" w:lineRule="exact"/>
        <w:rPr>
          <w:rFonts w:eastAsia="宋体" w:cs="Times New Roman"/>
        </w:rPr>
      </w:pPr>
    </w:p>
    <w:p w14:paraId="5ACA850E">
      <w:pPr>
        <w:keepLines w:val="0"/>
        <w:pageBreakBefore w:val="0"/>
        <w:kinsoku/>
        <w:wordWrap/>
        <w:overflowPunct/>
        <w:topLinePunct w:val="0"/>
        <w:autoSpaceDE/>
        <w:autoSpaceDN/>
        <w:bidi w:val="0"/>
        <w:adjustRightInd/>
        <w:snapToGrid/>
        <w:spacing w:line="560" w:lineRule="exact"/>
      </w:pPr>
    </w:p>
    <w:sectPr>
      <w:pgSz w:w="11906" w:h="16838"/>
      <w:pgMar w:top="1928" w:right="1474" w:bottom="175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B8871"/>
    <w:rsid w:val="0E15731A"/>
    <w:rsid w:val="7F7F42FD"/>
    <w:rsid w:val="EFFB8871"/>
    <w:rsid w:val="FFFF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9"/>
    <w:pPr>
      <w:keepNext/>
      <w:widowControl w:val="0"/>
      <w:jc w:val="center"/>
      <w:outlineLvl w:val="0"/>
    </w:pPr>
    <w:rPr>
      <w:rFonts w:ascii="Tahoma" w:hAnsi="Calibri" w:eastAsia="Tahoma" w:cs="Times New Roman"/>
      <w:b/>
      <w:bCs/>
      <w:kern w:val="2"/>
      <w:sz w:val="21"/>
      <w:szCs w:val="24"/>
      <w:lang w:val="en-US" w:eastAsia="zh-CN" w:bidi="ar-SA"/>
    </w:rPr>
  </w:style>
  <w:style w:type="paragraph" w:styleId="4">
    <w:name w:val="heading 2"/>
    <w:next w:val="1"/>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1"/>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5">
    <w:name w:val="annotation text"/>
    <w:qFormat/>
    <w:uiPriority w:val="0"/>
    <w:pPr>
      <w:widowControl w:val="0"/>
      <w:jc w:val="left"/>
    </w:pPr>
    <w:rPr>
      <w:rFonts w:ascii="Calibri" w:hAnsi="Calibri" w:eastAsia="宋体" w:cs="Times New Roman"/>
      <w:kern w:val="2"/>
      <w:sz w:val="21"/>
      <w:szCs w:val="24"/>
      <w:lang w:val="en-US" w:eastAsia="zh-CN" w:bidi="ar-SA"/>
    </w:rPr>
  </w:style>
  <w:style w:type="paragraph" w:styleId="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7">
    <w:name w:val="Body Text First Indent"/>
    <w:next w:val="2"/>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1848</Words>
  <Characters>1869</Characters>
  <Lines>0</Lines>
  <Paragraphs>0</Paragraphs>
  <TotalTime>6</TotalTime>
  <ScaleCrop>false</ScaleCrop>
  <LinksUpToDate>false</LinksUpToDate>
  <CharactersWithSpaces>1985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2025-01-08T17:48:00Z</dcterms:created>
  <dc:creator>李伟梅</dc:creator>
  <cp:lastModifiedBy>WPS_1523500423</cp:lastModifiedBy>
  <dcterms:modified xsi:type="dcterms:W3CDTF">2025-01-08T09:05:03Z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7A321171BACA41A8A28A8D4EFA43D888_13</vt:lpwstr>
  </property>
  <property fmtid="{D5CDD505-2E9C-101B-9397-08002B2CF9AE}" pid="4" name="KSOTemplateDocerSaveRecord">
    <vt:lpwstr>eyJoZGlkIjoiZTI4YmMxZjIwOWRhODg4M2QzNDdhZmRkYTNkMjg5ODIiLCJ1c2VySWQiOiIzNjEyNzAzMzUifQ==</vt:lpwstr>
  </property>
</Properties>
</file>