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9" w:lineRule="exact"/>
        <w:rPr>
          <w:rFonts w:ascii="仿宋_GB2312" w:eastAsia="仿宋_GB2312"/>
          <w:b/>
          <w:sz w:val="32"/>
          <w:szCs w:val="32"/>
        </w:rPr>
      </w:pPr>
      <w:r>
        <w:rPr>
          <w:rFonts w:hint="eastAsia" w:ascii="仿宋_GB2312" w:eastAsia="仿宋_GB2312"/>
          <w:b/>
          <w:sz w:val="32"/>
          <w:szCs w:val="32"/>
        </w:rPr>
        <w:t>附件</w:t>
      </w:r>
    </w:p>
    <w:p>
      <w:pPr>
        <w:snapToGrid w:val="0"/>
        <w:spacing w:line="579"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福田区</w:t>
      </w:r>
      <w:r>
        <w:rPr>
          <w:rFonts w:hint="eastAsia" w:ascii="方正小标宋简体" w:hAnsi="方正小标宋简体" w:eastAsia="方正小标宋简体" w:cs="方正小标宋简体"/>
          <w:sz w:val="44"/>
          <w:szCs w:val="44"/>
          <w:lang w:eastAsia="zh-CN"/>
        </w:rPr>
        <w:t>人力资源局</w:t>
      </w:r>
      <w:r>
        <w:rPr>
          <w:rFonts w:hint="eastAsia" w:ascii="方正小标宋简体" w:hAnsi="方正小标宋简体" w:eastAsia="方正小标宋简体" w:cs="方正小标宋简体"/>
          <w:sz w:val="44"/>
          <w:szCs w:val="44"/>
        </w:rPr>
        <w:t>劳动人事争议</w:t>
      </w:r>
      <w:r>
        <w:rPr>
          <w:rFonts w:hint="eastAsia" w:ascii="方正小标宋简体" w:hAnsi="方正小标宋简体" w:eastAsia="方正小标宋简体" w:cs="方正小标宋简体"/>
          <w:sz w:val="44"/>
          <w:szCs w:val="44"/>
          <w:lang w:eastAsia="zh-CN"/>
        </w:rPr>
        <w:t>院</w:t>
      </w:r>
      <w:r>
        <w:rPr>
          <w:rFonts w:hint="eastAsia" w:ascii="方正小标宋简体" w:hAnsi="方正小标宋简体" w:eastAsia="方正小标宋简体" w:cs="方正小标宋简体"/>
          <w:sz w:val="44"/>
          <w:szCs w:val="44"/>
        </w:rPr>
        <w:t>数字</w:t>
      </w:r>
    </w:p>
    <w:p>
      <w:pPr>
        <w:snapToGrid w:val="0"/>
        <w:spacing w:line="579"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仲裁智能语音系统建设项目</w:t>
      </w:r>
    </w:p>
    <w:p>
      <w:pPr>
        <w:snapToGrid w:val="0"/>
        <w:spacing w:line="579"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一、采购项目概况</w:t>
      </w:r>
    </w:p>
    <w:p>
      <w:pPr>
        <w:snapToGrid w:val="0"/>
        <w:spacing w:line="579"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（一）项目名称：福田区</w:t>
      </w:r>
      <w:r>
        <w:rPr>
          <w:rFonts w:hint="eastAsia" w:ascii="仿宋_GB2312" w:hAnsi="仿宋_GB2312" w:eastAsia="仿宋_GB2312" w:cs="仿宋_GB2312"/>
          <w:sz w:val="28"/>
          <w:szCs w:val="28"/>
          <w:lang w:eastAsia="zh-CN"/>
        </w:rPr>
        <w:t>人力资源局</w:t>
      </w:r>
      <w:r>
        <w:rPr>
          <w:rFonts w:hint="eastAsia" w:ascii="仿宋_GB2312" w:hAnsi="仿宋_GB2312" w:eastAsia="仿宋_GB2312" w:cs="仿宋_GB2312"/>
          <w:sz w:val="28"/>
          <w:szCs w:val="28"/>
        </w:rPr>
        <w:t>劳动人事争议</w:t>
      </w:r>
      <w:r>
        <w:rPr>
          <w:rFonts w:hint="eastAsia" w:ascii="仿宋_GB2312" w:hAnsi="仿宋_GB2312" w:eastAsia="仿宋_GB2312" w:cs="仿宋_GB2312"/>
          <w:sz w:val="28"/>
          <w:szCs w:val="28"/>
          <w:lang w:eastAsia="zh-CN"/>
        </w:rPr>
        <w:t>院</w:t>
      </w:r>
      <w:r>
        <w:rPr>
          <w:rFonts w:hint="eastAsia" w:ascii="仿宋_GB2312" w:hAnsi="仿宋_GB2312" w:eastAsia="仿宋_GB2312" w:cs="仿宋_GB2312"/>
          <w:sz w:val="28"/>
          <w:szCs w:val="28"/>
        </w:rPr>
        <w:t>数字仲裁智能语音系统建设</w:t>
      </w:r>
      <w:r>
        <w:rPr>
          <w:rFonts w:hint="eastAsia" w:ascii="仿宋_GB2312" w:hAnsi="仿宋_GB2312" w:eastAsia="仿宋_GB2312" w:cs="仿宋_GB2312"/>
          <w:sz w:val="28"/>
          <w:szCs w:val="28"/>
          <w:lang w:eastAsia="zh-CN"/>
        </w:rPr>
        <w:t>。</w:t>
      </w:r>
    </w:p>
    <w:p>
      <w:pPr>
        <w:snapToGrid w:val="0"/>
        <w:spacing w:line="579" w:lineRule="exact"/>
        <w:ind w:firstLine="560" w:firstLineChars="200"/>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sz w:val="28"/>
          <w:szCs w:val="28"/>
        </w:rPr>
        <w:t>（二）预算金额：人民币180000元</w:t>
      </w:r>
      <w:r>
        <w:rPr>
          <w:rFonts w:hint="eastAsia" w:ascii="仿宋_GB2312" w:hAnsi="仿宋_GB2312" w:eastAsia="仿宋_GB2312" w:cs="仿宋_GB2312"/>
          <w:sz w:val="28"/>
          <w:szCs w:val="28"/>
          <w:lang w:eastAsia="zh-CN"/>
        </w:rPr>
        <w:t>。</w:t>
      </w:r>
    </w:p>
    <w:p>
      <w:pPr>
        <w:snapToGrid w:val="0"/>
        <w:spacing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（三）项目概况：庭审语音识别是“数字仲裁庭”的重要功能，实现语音识别能够提升庭审效率、减轻书记员负担、提高庭审质量，使院方更好的为当事人提供仲裁服务。</w:t>
      </w:r>
    </w:p>
    <w:p>
      <w:pPr>
        <w:snapToGrid w:val="0"/>
        <w:spacing w:line="579"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本项目根据深圳市</w:t>
      </w:r>
      <w:r>
        <w:rPr>
          <w:rFonts w:hint="eastAsia" w:ascii="仿宋" w:hAnsi="仿宋" w:eastAsia="仿宋"/>
          <w:sz w:val="28"/>
          <w:szCs w:val="28"/>
        </w:rPr>
        <w:t>《劳动人事争议数字仲裁庭建设指引》文件标准，结合智能仲裁院建设现状，以避免重复建设和节约经费为原则，开展仲裁智能语音识别系统建设，对院内五个仲裁庭进行能力提升，以实现语音识别功能。考虑到系统功能适配和使用效率，语音识别系统应与本院已部署的庭审综合管理系统实现无缝对接，并最终实现与深圳市劳动仲裁业务管理系统对接。</w:t>
      </w:r>
    </w:p>
    <w:p>
      <w:pPr>
        <w:numPr>
          <w:ilvl w:val="0"/>
          <w:numId w:val="3"/>
        </w:numPr>
        <w:snapToGrid w:val="0"/>
        <w:spacing w:line="579"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项目采购需求</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1082"/>
        <w:gridCol w:w="835"/>
        <w:gridCol w:w="851"/>
        <w:gridCol w:w="5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1" w:type="dxa"/>
            <w:vAlign w:val="center"/>
          </w:tcPr>
          <w:p>
            <w:pPr>
              <w:pStyle w:val="19"/>
              <w:spacing w:line="300" w:lineRule="exact"/>
              <w:ind w:firstLine="0" w:firstLineChars="0"/>
              <w:jc w:val="center"/>
              <w:rPr>
                <w:rFonts w:hint="eastAsia" w:ascii="仿宋" w:hAnsi="仿宋" w:eastAsia="仿宋"/>
                <w:b/>
                <w:bCs/>
                <w:sz w:val="28"/>
                <w:szCs w:val="28"/>
              </w:rPr>
            </w:pPr>
            <w:r>
              <w:rPr>
                <w:rFonts w:hint="eastAsia" w:ascii="仿宋" w:hAnsi="仿宋" w:eastAsia="仿宋"/>
                <w:b/>
                <w:bCs/>
                <w:sz w:val="28"/>
                <w:szCs w:val="28"/>
              </w:rPr>
              <w:t>序号</w:t>
            </w:r>
          </w:p>
        </w:tc>
        <w:tc>
          <w:tcPr>
            <w:tcW w:w="1082" w:type="dxa"/>
            <w:vAlign w:val="center"/>
          </w:tcPr>
          <w:p>
            <w:pPr>
              <w:pStyle w:val="19"/>
              <w:spacing w:line="300" w:lineRule="exact"/>
              <w:ind w:firstLine="0" w:firstLineChars="0"/>
              <w:jc w:val="center"/>
              <w:rPr>
                <w:rFonts w:ascii="仿宋" w:hAnsi="仿宋" w:eastAsia="仿宋"/>
                <w:b/>
                <w:bCs/>
                <w:sz w:val="28"/>
                <w:szCs w:val="28"/>
              </w:rPr>
            </w:pPr>
            <w:r>
              <w:rPr>
                <w:rFonts w:hint="eastAsia" w:ascii="仿宋" w:hAnsi="仿宋" w:eastAsia="仿宋"/>
                <w:b/>
                <w:bCs/>
                <w:sz w:val="28"/>
                <w:szCs w:val="28"/>
              </w:rPr>
              <w:t>设备</w:t>
            </w:r>
          </w:p>
          <w:p>
            <w:pPr>
              <w:pStyle w:val="19"/>
              <w:spacing w:line="300" w:lineRule="exact"/>
              <w:ind w:firstLine="0" w:firstLineChars="0"/>
              <w:jc w:val="center"/>
              <w:rPr>
                <w:rFonts w:hint="eastAsia" w:ascii="仿宋" w:hAnsi="仿宋" w:eastAsia="仿宋"/>
                <w:b/>
                <w:bCs/>
                <w:sz w:val="28"/>
                <w:szCs w:val="28"/>
              </w:rPr>
            </w:pPr>
            <w:r>
              <w:rPr>
                <w:rFonts w:hint="eastAsia" w:ascii="仿宋" w:hAnsi="仿宋" w:eastAsia="仿宋"/>
                <w:b/>
                <w:bCs/>
                <w:sz w:val="28"/>
                <w:szCs w:val="28"/>
              </w:rPr>
              <w:t>名称</w:t>
            </w:r>
          </w:p>
        </w:tc>
        <w:tc>
          <w:tcPr>
            <w:tcW w:w="835" w:type="dxa"/>
            <w:vAlign w:val="center"/>
          </w:tcPr>
          <w:p>
            <w:pPr>
              <w:pStyle w:val="19"/>
              <w:spacing w:line="300" w:lineRule="exact"/>
              <w:ind w:firstLine="0" w:firstLineChars="0"/>
              <w:jc w:val="center"/>
              <w:rPr>
                <w:rFonts w:hint="eastAsia" w:ascii="仿宋" w:hAnsi="仿宋" w:eastAsia="仿宋"/>
                <w:b/>
                <w:bCs/>
                <w:sz w:val="28"/>
                <w:szCs w:val="28"/>
              </w:rPr>
            </w:pPr>
            <w:r>
              <w:rPr>
                <w:rFonts w:hint="eastAsia" w:ascii="仿宋" w:hAnsi="仿宋" w:eastAsia="仿宋"/>
                <w:b/>
                <w:bCs/>
                <w:sz w:val="28"/>
                <w:szCs w:val="28"/>
              </w:rPr>
              <w:t>数量</w:t>
            </w:r>
          </w:p>
        </w:tc>
        <w:tc>
          <w:tcPr>
            <w:tcW w:w="851" w:type="dxa"/>
            <w:vAlign w:val="center"/>
          </w:tcPr>
          <w:p>
            <w:pPr>
              <w:pStyle w:val="19"/>
              <w:spacing w:line="300" w:lineRule="exact"/>
              <w:ind w:firstLine="0" w:firstLineChars="0"/>
              <w:jc w:val="center"/>
              <w:rPr>
                <w:rFonts w:hint="eastAsia" w:ascii="仿宋" w:hAnsi="仿宋" w:eastAsia="仿宋"/>
                <w:b/>
                <w:bCs/>
                <w:sz w:val="28"/>
                <w:szCs w:val="28"/>
              </w:rPr>
            </w:pPr>
            <w:r>
              <w:rPr>
                <w:rFonts w:hint="eastAsia" w:ascii="仿宋" w:hAnsi="仿宋" w:eastAsia="仿宋"/>
                <w:b/>
                <w:bCs/>
                <w:sz w:val="28"/>
                <w:szCs w:val="28"/>
              </w:rPr>
              <w:t>单位</w:t>
            </w:r>
          </w:p>
        </w:tc>
        <w:tc>
          <w:tcPr>
            <w:tcW w:w="5153" w:type="dxa"/>
            <w:vAlign w:val="center"/>
          </w:tcPr>
          <w:p>
            <w:pPr>
              <w:pStyle w:val="19"/>
              <w:spacing w:line="300" w:lineRule="exact"/>
              <w:ind w:firstLine="0" w:firstLineChars="0"/>
              <w:jc w:val="center"/>
              <w:rPr>
                <w:rFonts w:hint="eastAsia" w:ascii="仿宋" w:hAnsi="仿宋" w:eastAsia="仿宋"/>
                <w:b/>
                <w:bCs/>
                <w:sz w:val="28"/>
                <w:szCs w:val="28"/>
              </w:rPr>
            </w:pPr>
            <w:r>
              <w:rPr>
                <w:rFonts w:hint="eastAsia" w:ascii="仿宋" w:hAnsi="仿宋" w:eastAsia="仿宋"/>
                <w:b/>
                <w:bCs/>
                <w:sz w:val="28"/>
                <w:szCs w:val="28"/>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1" w:type="dxa"/>
            <w:vAlign w:val="center"/>
          </w:tcPr>
          <w:p>
            <w:pPr>
              <w:pStyle w:val="19"/>
              <w:spacing w:line="300" w:lineRule="exact"/>
              <w:ind w:firstLine="0" w:firstLineChars="0"/>
              <w:jc w:val="center"/>
              <w:rPr>
                <w:rFonts w:hint="eastAsia" w:ascii="仿宋" w:hAnsi="仿宋" w:eastAsia="仿宋"/>
                <w:sz w:val="28"/>
                <w:szCs w:val="28"/>
              </w:rPr>
            </w:pPr>
            <w:r>
              <w:rPr>
                <w:rFonts w:hint="eastAsia" w:ascii="仿宋" w:hAnsi="仿宋" w:eastAsia="仿宋"/>
                <w:sz w:val="28"/>
                <w:szCs w:val="28"/>
              </w:rPr>
              <w:t>1</w:t>
            </w:r>
          </w:p>
        </w:tc>
        <w:tc>
          <w:tcPr>
            <w:tcW w:w="1082" w:type="dxa"/>
            <w:vAlign w:val="center"/>
          </w:tcPr>
          <w:p>
            <w:pPr>
              <w:snapToGrid w:val="0"/>
              <w:spacing w:line="579" w:lineRule="exact"/>
              <w:rPr>
                <w:rFonts w:hint="eastAsia" w:ascii="仿宋" w:hAnsi="仿宋" w:eastAsia="仿宋" w:cs="黑体"/>
                <w:bCs/>
                <w:sz w:val="28"/>
                <w:szCs w:val="28"/>
              </w:rPr>
            </w:pPr>
            <w:r>
              <w:rPr>
                <w:rFonts w:hint="eastAsia" w:ascii="仿宋" w:hAnsi="仿宋" w:eastAsia="仿宋" w:cs="黑体"/>
                <w:bCs/>
                <w:sz w:val="28"/>
                <w:szCs w:val="28"/>
              </w:rPr>
              <w:t>智能语音系统</w:t>
            </w:r>
          </w:p>
        </w:tc>
        <w:tc>
          <w:tcPr>
            <w:tcW w:w="835" w:type="dxa"/>
            <w:vAlign w:val="center"/>
          </w:tcPr>
          <w:p>
            <w:pPr>
              <w:snapToGrid w:val="0"/>
              <w:spacing w:line="579" w:lineRule="exact"/>
              <w:jc w:val="center"/>
              <w:rPr>
                <w:rFonts w:hint="eastAsia" w:ascii="仿宋" w:hAnsi="仿宋" w:eastAsia="仿宋" w:cs="黑体"/>
                <w:bCs/>
                <w:sz w:val="28"/>
                <w:szCs w:val="28"/>
                <w:lang w:eastAsia="zh-CN"/>
              </w:rPr>
            </w:pPr>
            <w:r>
              <w:rPr>
                <w:rFonts w:hint="eastAsia" w:ascii="仿宋" w:hAnsi="仿宋" w:eastAsia="仿宋" w:cs="黑体"/>
                <w:bCs/>
                <w:sz w:val="28"/>
                <w:szCs w:val="28"/>
                <w:lang w:val="en-US" w:eastAsia="zh-CN"/>
              </w:rPr>
              <w:t>5</w:t>
            </w:r>
          </w:p>
        </w:tc>
        <w:tc>
          <w:tcPr>
            <w:tcW w:w="851" w:type="dxa"/>
            <w:vAlign w:val="center"/>
          </w:tcPr>
          <w:p>
            <w:pPr>
              <w:snapToGrid w:val="0"/>
              <w:spacing w:line="579" w:lineRule="exact"/>
              <w:jc w:val="center"/>
              <w:rPr>
                <w:rFonts w:hint="eastAsia" w:ascii="仿宋" w:hAnsi="仿宋" w:eastAsia="仿宋" w:cs="黑体"/>
                <w:bCs/>
                <w:sz w:val="28"/>
                <w:szCs w:val="28"/>
              </w:rPr>
            </w:pPr>
            <w:r>
              <w:rPr>
                <w:rFonts w:hint="eastAsia" w:ascii="仿宋" w:hAnsi="仿宋" w:eastAsia="仿宋" w:cs="黑体"/>
                <w:bCs/>
                <w:sz w:val="28"/>
                <w:szCs w:val="28"/>
              </w:rPr>
              <w:t>套</w:t>
            </w:r>
          </w:p>
        </w:tc>
        <w:tc>
          <w:tcPr>
            <w:tcW w:w="5153" w:type="dxa"/>
            <w:vAlign w:val="center"/>
          </w:tcPr>
          <w:p>
            <w:pPr>
              <w:snapToGrid w:val="0"/>
              <w:spacing w:line="579" w:lineRule="exact"/>
              <w:rPr>
                <w:rFonts w:hint="eastAsia" w:ascii="仿宋" w:hAnsi="仿宋" w:eastAsia="仿宋" w:cs="黑体"/>
                <w:bCs/>
                <w:sz w:val="28"/>
                <w:szCs w:val="28"/>
              </w:rPr>
            </w:pPr>
            <w:r>
              <w:rPr>
                <w:rFonts w:hint="eastAsia" w:ascii="仿宋" w:hAnsi="仿宋" w:eastAsia="仿宋" w:cs="黑体"/>
                <w:bCs/>
                <w:sz w:val="28"/>
                <w:szCs w:val="28"/>
              </w:rPr>
              <w:t>1、识别准确率：中文普通话 ≥98.5%</w:t>
            </w:r>
          </w:p>
          <w:p>
            <w:pPr>
              <w:snapToGrid w:val="0"/>
              <w:spacing w:line="579" w:lineRule="exact"/>
              <w:rPr>
                <w:rFonts w:hint="eastAsia" w:ascii="仿宋" w:hAnsi="仿宋" w:eastAsia="仿宋" w:cs="黑体"/>
                <w:bCs/>
                <w:sz w:val="28"/>
                <w:szCs w:val="28"/>
              </w:rPr>
            </w:pPr>
            <w:r>
              <w:rPr>
                <w:rFonts w:hint="eastAsia" w:ascii="仿宋" w:hAnsi="仿宋" w:eastAsia="仿宋" w:cs="黑体"/>
                <w:bCs/>
                <w:sz w:val="28"/>
                <w:szCs w:val="28"/>
              </w:rPr>
              <w:t>2、语音识别：识别拾音设备输入的音频信号</w:t>
            </w:r>
          </w:p>
          <w:p>
            <w:pPr>
              <w:snapToGrid w:val="0"/>
              <w:spacing w:line="579" w:lineRule="exact"/>
              <w:rPr>
                <w:rFonts w:hint="eastAsia" w:ascii="仿宋" w:hAnsi="仿宋" w:eastAsia="仿宋" w:cs="黑体"/>
                <w:bCs/>
                <w:sz w:val="28"/>
                <w:szCs w:val="28"/>
              </w:rPr>
            </w:pPr>
            <w:r>
              <w:rPr>
                <w:rFonts w:hint="eastAsia" w:ascii="仿宋" w:hAnsi="仿宋" w:eastAsia="仿宋" w:cs="黑体"/>
                <w:bCs/>
                <w:sz w:val="28"/>
                <w:szCs w:val="28"/>
              </w:rPr>
              <w:t>3、语音转写：将识别到的音频信号转换成文字输出到系统</w:t>
            </w:r>
          </w:p>
          <w:p>
            <w:pPr>
              <w:snapToGrid w:val="0"/>
              <w:spacing w:line="579" w:lineRule="exact"/>
              <w:rPr>
                <w:rFonts w:hint="eastAsia" w:ascii="仿宋" w:hAnsi="仿宋" w:eastAsia="仿宋" w:cs="黑体"/>
                <w:bCs/>
                <w:sz w:val="28"/>
                <w:szCs w:val="28"/>
              </w:rPr>
            </w:pPr>
            <w:r>
              <w:rPr>
                <w:rFonts w:hint="eastAsia" w:ascii="仿宋" w:hAnsi="仿宋" w:eastAsia="仿宋" w:cs="黑体"/>
                <w:bCs/>
                <w:sz w:val="28"/>
                <w:szCs w:val="28"/>
              </w:rPr>
              <w:t>4、庭审信息语音播报：通过识别文档中的文字内容，合成模拟人声进行播报</w:t>
            </w:r>
          </w:p>
          <w:p>
            <w:pPr>
              <w:snapToGrid w:val="0"/>
              <w:spacing w:line="579" w:lineRule="exact"/>
              <w:rPr>
                <w:rFonts w:hint="eastAsia" w:ascii="仿宋" w:hAnsi="仿宋" w:eastAsia="仿宋" w:cs="黑体"/>
                <w:bCs/>
                <w:sz w:val="28"/>
                <w:szCs w:val="28"/>
              </w:rPr>
            </w:pPr>
            <w:r>
              <w:rPr>
                <w:rFonts w:hint="eastAsia" w:ascii="仿宋" w:hAnsi="仿宋" w:eastAsia="仿宋" w:cs="黑体"/>
                <w:bCs/>
                <w:sz w:val="28"/>
                <w:szCs w:val="28"/>
              </w:rPr>
              <w:t>5、庭审笔录标记回听：在转写过程中可选中文本进行标记，结束后可对标记内容进行回听</w:t>
            </w:r>
          </w:p>
          <w:p>
            <w:pPr>
              <w:snapToGrid w:val="0"/>
              <w:spacing w:line="579" w:lineRule="exact"/>
              <w:rPr>
                <w:rFonts w:hint="eastAsia" w:ascii="仿宋" w:hAnsi="仿宋" w:eastAsia="仿宋" w:cs="黑体"/>
                <w:bCs/>
                <w:sz w:val="28"/>
                <w:szCs w:val="28"/>
              </w:rPr>
            </w:pPr>
            <w:r>
              <w:rPr>
                <w:rFonts w:hint="eastAsia" w:ascii="仿宋" w:hAnsi="仿宋" w:eastAsia="仿宋" w:cs="黑体"/>
                <w:bCs/>
                <w:sz w:val="28"/>
                <w:szCs w:val="28"/>
              </w:rPr>
              <w:t>6、庭审智能笔录修正：根据对话的语言情景，自动识别匹配纠错相关文字词汇</w:t>
            </w:r>
          </w:p>
          <w:p>
            <w:pPr>
              <w:snapToGrid w:val="0"/>
              <w:spacing w:line="579" w:lineRule="exact"/>
              <w:rPr>
                <w:rFonts w:hint="eastAsia" w:ascii="仿宋" w:hAnsi="仿宋" w:eastAsia="仿宋" w:cs="黑体"/>
                <w:bCs/>
                <w:sz w:val="28"/>
                <w:szCs w:val="28"/>
              </w:rPr>
            </w:pPr>
            <w:r>
              <w:rPr>
                <w:rFonts w:hint="eastAsia" w:ascii="仿宋" w:hAnsi="仿宋" w:eastAsia="仿宋" w:cs="黑体"/>
                <w:bCs/>
                <w:sz w:val="28"/>
                <w:szCs w:val="28"/>
              </w:rPr>
              <w:t>7、多角色区分识别：对不同的话筒输入源标记不同的身份角色以作区分，每庭至少支持10路；支持用户自定义设置角色信息</w:t>
            </w:r>
          </w:p>
          <w:p>
            <w:pPr>
              <w:snapToGrid w:val="0"/>
              <w:spacing w:line="579" w:lineRule="exact"/>
              <w:rPr>
                <w:rFonts w:hint="eastAsia" w:ascii="仿宋" w:hAnsi="仿宋" w:eastAsia="仿宋" w:cs="黑体"/>
                <w:bCs/>
                <w:sz w:val="28"/>
                <w:szCs w:val="28"/>
              </w:rPr>
            </w:pPr>
            <w:r>
              <w:rPr>
                <w:rFonts w:hint="eastAsia" w:ascii="仿宋" w:hAnsi="仿宋" w:eastAsia="仿宋" w:cs="黑体"/>
                <w:bCs/>
                <w:sz w:val="28"/>
                <w:szCs w:val="28"/>
              </w:rPr>
              <w:t>8、个性化词语配置：导入法律、庭审相关词汇时更精准的识别法律专业名词</w:t>
            </w:r>
          </w:p>
          <w:p>
            <w:pPr>
              <w:snapToGrid w:val="0"/>
              <w:spacing w:line="579" w:lineRule="exact"/>
              <w:rPr>
                <w:rFonts w:hint="eastAsia" w:ascii="仿宋" w:hAnsi="仿宋" w:eastAsia="仿宋" w:cs="黑体"/>
                <w:bCs/>
                <w:sz w:val="28"/>
                <w:szCs w:val="28"/>
              </w:rPr>
            </w:pPr>
            <w:r>
              <w:rPr>
                <w:rFonts w:hint="eastAsia" w:ascii="仿宋" w:hAnsi="仿宋" w:eastAsia="仿宋" w:cs="黑体"/>
                <w:bCs/>
                <w:sz w:val="28"/>
                <w:szCs w:val="28"/>
              </w:rPr>
              <w:t>9、智能模糊查找替换：模糊查询文本的关键词，替换选中的关键词</w:t>
            </w:r>
          </w:p>
          <w:p>
            <w:pPr>
              <w:snapToGrid w:val="0"/>
              <w:spacing w:line="579" w:lineRule="exact"/>
              <w:rPr>
                <w:rFonts w:hint="eastAsia" w:ascii="仿宋" w:hAnsi="仿宋" w:eastAsia="仿宋" w:cs="黑体"/>
                <w:bCs/>
                <w:sz w:val="28"/>
                <w:szCs w:val="28"/>
              </w:rPr>
            </w:pPr>
            <w:r>
              <w:rPr>
                <w:rFonts w:hint="eastAsia" w:ascii="仿宋" w:hAnsi="仿宋" w:eastAsia="仿宋" w:cs="黑体"/>
                <w:bCs/>
                <w:sz w:val="28"/>
                <w:szCs w:val="28"/>
              </w:rPr>
              <w:t>10、文字格式设置：支持用户自定义设置音转文键入文字格式，可配置字体、大小等参数</w:t>
            </w:r>
          </w:p>
          <w:p>
            <w:pPr>
              <w:snapToGrid w:val="0"/>
              <w:spacing w:line="579" w:lineRule="exact"/>
              <w:rPr>
                <w:rFonts w:hint="eastAsia" w:ascii="仿宋" w:hAnsi="仿宋" w:eastAsia="仿宋" w:cs="黑体"/>
                <w:bCs/>
                <w:sz w:val="28"/>
                <w:szCs w:val="28"/>
              </w:rPr>
            </w:pPr>
            <w:r>
              <w:rPr>
                <w:rFonts w:hint="eastAsia" w:ascii="仿宋" w:hAnsi="仿宋" w:eastAsia="仿宋" w:cs="黑体"/>
                <w:bCs/>
                <w:sz w:val="28"/>
                <w:szCs w:val="28"/>
              </w:rPr>
              <w:t>11、系统对接与并发要求（投标人此项单独提供承诺函并加盖投标人公章，格式自拟）：</w:t>
            </w:r>
          </w:p>
          <w:p>
            <w:pPr>
              <w:snapToGrid w:val="0"/>
              <w:spacing w:line="579" w:lineRule="exact"/>
              <w:rPr>
                <w:rFonts w:hint="eastAsia" w:ascii="仿宋" w:hAnsi="仿宋" w:eastAsia="仿宋" w:cs="黑体"/>
                <w:bCs/>
                <w:sz w:val="28"/>
                <w:szCs w:val="28"/>
              </w:rPr>
            </w:pPr>
            <w:r>
              <w:rPr>
                <w:rFonts w:hint="eastAsia" w:ascii="仿宋" w:hAnsi="仿宋" w:eastAsia="仿宋" w:cs="黑体"/>
                <w:bCs/>
                <w:sz w:val="28"/>
                <w:szCs w:val="28"/>
              </w:rPr>
              <w:t>11.1 系统支持与仲裁院庭审综合管理平台实现无缝对接，实现开庭过程中流畅调用语音识别模块功能。</w:t>
            </w:r>
          </w:p>
          <w:p>
            <w:pPr>
              <w:snapToGrid w:val="0"/>
              <w:spacing w:line="579" w:lineRule="exact"/>
              <w:rPr>
                <w:rFonts w:hint="eastAsia" w:ascii="仿宋" w:hAnsi="仿宋" w:eastAsia="仿宋"/>
                <w:sz w:val="28"/>
                <w:szCs w:val="28"/>
              </w:rPr>
            </w:pPr>
            <w:r>
              <w:rPr>
                <w:rFonts w:hint="eastAsia" w:ascii="仿宋" w:hAnsi="仿宋" w:eastAsia="仿宋" w:cs="黑体"/>
                <w:bCs/>
                <w:sz w:val="28"/>
                <w:szCs w:val="28"/>
              </w:rPr>
              <w:t>11.2 并发要求：系统支持至少5个仲裁庭同时实现语音识别转写。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1" w:type="dxa"/>
            <w:vAlign w:val="center"/>
          </w:tcPr>
          <w:p>
            <w:pPr>
              <w:pStyle w:val="19"/>
              <w:spacing w:line="300" w:lineRule="exact"/>
              <w:ind w:firstLine="0" w:firstLineChars="0"/>
              <w:jc w:val="center"/>
              <w:rPr>
                <w:rFonts w:hint="eastAsia" w:ascii="仿宋" w:hAnsi="仿宋" w:eastAsia="仿宋"/>
                <w:sz w:val="28"/>
                <w:szCs w:val="28"/>
              </w:rPr>
            </w:pPr>
            <w:r>
              <w:rPr>
                <w:rFonts w:hint="eastAsia" w:ascii="仿宋" w:hAnsi="仿宋" w:eastAsia="仿宋"/>
                <w:sz w:val="28"/>
                <w:szCs w:val="28"/>
              </w:rPr>
              <w:t>2</w:t>
            </w:r>
          </w:p>
        </w:tc>
        <w:tc>
          <w:tcPr>
            <w:tcW w:w="1082" w:type="dxa"/>
            <w:vAlign w:val="center"/>
          </w:tcPr>
          <w:p>
            <w:pPr>
              <w:snapToGrid w:val="0"/>
              <w:spacing w:line="579" w:lineRule="exact"/>
              <w:jc w:val="center"/>
              <w:rPr>
                <w:rFonts w:hint="eastAsia" w:ascii="仿宋" w:hAnsi="仿宋" w:eastAsia="仿宋"/>
                <w:sz w:val="28"/>
                <w:szCs w:val="28"/>
              </w:rPr>
            </w:pPr>
            <w:r>
              <w:rPr>
                <w:rFonts w:hint="eastAsia" w:ascii="仿宋" w:hAnsi="仿宋" w:eastAsia="仿宋"/>
                <w:sz w:val="28"/>
                <w:szCs w:val="28"/>
              </w:rPr>
              <w:t>智能语音识别服务主机</w:t>
            </w:r>
          </w:p>
        </w:tc>
        <w:tc>
          <w:tcPr>
            <w:tcW w:w="835" w:type="dxa"/>
            <w:vAlign w:val="center"/>
          </w:tcPr>
          <w:p>
            <w:pPr>
              <w:snapToGrid w:val="0"/>
              <w:spacing w:line="579" w:lineRule="exact"/>
              <w:jc w:val="center"/>
              <w:rPr>
                <w:rFonts w:hint="eastAsia" w:ascii="仿宋" w:hAnsi="仿宋" w:eastAsia="仿宋" w:cs="黑体"/>
                <w:bCs/>
                <w:sz w:val="28"/>
                <w:szCs w:val="28"/>
              </w:rPr>
            </w:pPr>
            <w:r>
              <w:rPr>
                <w:rFonts w:hint="eastAsia" w:ascii="仿宋" w:hAnsi="仿宋" w:eastAsia="仿宋" w:cs="黑体"/>
                <w:bCs/>
                <w:sz w:val="28"/>
                <w:szCs w:val="28"/>
              </w:rPr>
              <w:t>1</w:t>
            </w:r>
          </w:p>
        </w:tc>
        <w:tc>
          <w:tcPr>
            <w:tcW w:w="851" w:type="dxa"/>
            <w:vAlign w:val="center"/>
          </w:tcPr>
          <w:p>
            <w:pPr>
              <w:snapToGrid w:val="0"/>
              <w:spacing w:line="579" w:lineRule="exact"/>
              <w:jc w:val="center"/>
              <w:rPr>
                <w:rFonts w:hint="eastAsia" w:ascii="仿宋" w:hAnsi="仿宋" w:eastAsia="仿宋" w:cs="黑体"/>
                <w:bCs/>
                <w:sz w:val="28"/>
                <w:szCs w:val="28"/>
              </w:rPr>
            </w:pPr>
            <w:r>
              <w:rPr>
                <w:rFonts w:hint="eastAsia" w:ascii="仿宋" w:hAnsi="仿宋" w:eastAsia="仿宋" w:cs="黑体"/>
                <w:bCs/>
                <w:sz w:val="28"/>
                <w:szCs w:val="28"/>
              </w:rPr>
              <w:t>台</w:t>
            </w:r>
          </w:p>
        </w:tc>
        <w:tc>
          <w:tcPr>
            <w:tcW w:w="5153" w:type="dxa"/>
            <w:vAlign w:val="center"/>
          </w:tcPr>
          <w:p>
            <w:pPr>
              <w:snapToGrid w:val="0"/>
              <w:spacing w:line="579" w:lineRule="exact"/>
              <w:rPr>
                <w:rFonts w:hint="eastAsia" w:ascii="仿宋" w:hAnsi="仿宋" w:eastAsia="仿宋" w:cs="黑体"/>
                <w:bCs/>
                <w:sz w:val="28"/>
                <w:szCs w:val="28"/>
              </w:rPr>
            </w:pPr>
            <w:r>
              <w:rPr>
                <w:rFonts w:hint="eastAsia" w:ascii="仿宋" w:hAnsi="仿宋" w:eastAsia="仿宋" w:cs="黑体"/>
                <w:bCs/>
                <w:sz w:val="28"/>
                <w:szCs w:val="28"/>
              </w:rPr>
              <w:t>1、处理器：32核及以上，支持avx2指令，主频不低于2.5GHz</w:t>
            </w:r>
          </w:p>
          <w:p>
            <w:pPr>
              <w:snapToGrid w:val="0"/>
              <w:spacing w:line="579" w:lineRule="exact"/>
              <w:rPr>
                <w:rFonts w:hint="eastAsia" w:ascii="仿宋" w:hAnsi="仿宋" w:eastAsia="仿宋" w:cs="黑体"/>
                <w:bCs/>
                <w:sz w:val="28"/>
                <w:szCs w:val="28"/>
              </w:rPr>
            </w:pPr>
            <w:r>
              <w:rPr>
                <w:rFonts w:hint="eastAsia" w:ascii="仿宋" w:hAnsi="仿宋" w:eastAsia="仿宋" w:cs="黑体"/>
                <w:bCs/>
                <w:sz w:val="28"/>
                <w:szCs w:val="28"/>
              </w:rPr>
              <w:t>2、内存：≥128G</w:t>
            </w:r>
          </w:p>
          <w:p>
            <w:pPr>
              <w:snapToGrid w:val="0"/>
              <w:spacing w:line="579" w:lineRule="exact"/>
              <w:rPr>
                <w:rFonts w:hint="eastAsia" w:ascii="仿宋" w:hAnsi="仿宋" w:eastAsia="仿宋" w:cs="黑体"/>
                <w:bCs/>
                <w:sz w:val="28"/>
                <w:szCs w:val="28"/>
              </w:rPr>
            </w:pPr>
            <w:r>
              <w:rPr>
                <w:rFonts w:hint="eastAsia" w:ascii="仿宋" w:hAnsi="仿宋" w:eastAsia="仿宋" w:cs="黑体"/>
                <w:bCs/>
                <w:sz w:val="28"/>
                <w:szCs w:val="28"/>
              </w:rPr>
              <w:t>3、硬盘：≥500G</w:t>
            </w:r>
          </w:p>
          <w:p>
            <w:pPr>
              <w:snapToGrid w:val="0"/>
              <w:spacing w:line="579" w:lineRule="exact"/>
              <w:rPr>
                <w:rFonts w:hint="eastAsia" w:ascii="仿宋" w:hAnsi="仿宋" w:eastAsia="仿宋" w:cs="黑体"/>
                <w:bCs/>
                <w:sz w:val="28"/>
                <w:szCs w:val="28"/>
              </w:rPr>
            </w:pPr>
            <w:r>
              <w:rPr>
                <w:rFonts w:hint="eastAsia" w:ascii="仿宋" w:hAnsi="仿宋" w:eastAsia="仿宋" w:cs="黑体"/>
                <w:bCs/>
                <w:sz w:val="28"/>
                <w:szCs w:val="28"/>
              </w:rPr>
              <w:t>4、电源：600W单电源</w:t>
            </w:r>
          </w:p>
          <w:p>
            <w:pPr>
              <w:snapToGrid w:val="0"/>
              <w:spacing w:line="579" w:lineRule="exact"/>
              <w:rPr>
                <w:rFonts w:hint="eastAsia" w:ascii="仿宋" w:hAnsi="仿宋" w:eastAsia="仿宋" w:cs="黑体"/>
                <w:bCs/>
                <w:sz w:val="28"/>
                <w:szCs w:val="28"/>
              </w:rPr>
            </w:pPr>
            <w:r>
              <w:rPr>
                <w:rFonts w:hint="eastAsia" w:ascii="仿宋" w:hAnsi="仿宋" w:eastAsia="仿宋" w:cs="黑体"/>
                <w:bCs/>
                <w:sz w:val="28"/>
                <w:szCs w:val="28"/>
              </w:rPr>
              <w:t>5、服务主机</w:t>
            </w:r>
            <w:r>
              <w:rPr>
                <w:rFonts w:hint="eastAsia" w:ascii="仿宋" w:hAnsi="仿宋" w:eastAsia="仿宋" w:cs="黑体"/>
                <w:bCs/>
                <w:sz w:val="28"/>
                <w:szCs w:val="28"/>
                <w:lang w:eastAsia="zh-CN"/>
              </w:rPr>
              <w:t>可</w:t>
            </w:r>
            <w:r>
              <w:rPr>
                <w:rFonts w:hint="eastAsia" w:ascii="仿宋" w:hAnsi="仿宋" w:eastAsia="仿宋" w:cs="黑体"/>
                <w:bCs/>
                <w:sz w:val="28"/>
                <w:szCs w:val="28"/>
              </w:rPr>
              <w:t>对接福田区已部署的庭审综合管理系统，</w:t>
            </w:r>
            <w:r>
              <w:rPr>
                <w:rFonts w:hint="eastAsia" w:ascii="仿宋" w:hAnsi="仿宋" w:eastAsia="仿宋" w:cs="黑体"/>
                <w:bCs/>
                <w:sz w:val="28"/>
                <w:szCs w:val="28"/>
                <w:lang w:eastAsia="zh-CN"/>
              </w:rPr>
              <w:t>并能</w:t>
            </w:r>
            <w:r>
              <w:rPr>
                <w:rFonts w:hint="eastAsia" w:ascii="仿宋" w:hAnsi="仿宋" w:eastAsia="仿宋" w:cs="黑体"/>
                <w:bCs/>
                <w:sz w:val="28"/>
                <w:szCs w:val="28"/>
              </w:rPr>
              <w:t>实现以下功能：</w:t>
            </w:r>
          </w:p>
          <w:p>
            <w:pPr>
              <w:snapToGrid w:val="0"/>
              <w:spacing w:line="579" w:lineRule="exact"/>
              <w:rPr>
                <w:rFonts w:hint="eastAsia" w:ascii="仿宋" w:hAnsi="仿宋" w:eastAsia="仿宋" w:cs="黑体"/>
                <w:bCs/>
                <w:sz w:val="28"/>
                <w:szCs w:val="28"/>
              </w:rPr>
            </w:pPr>
            <w:r>
              <w:rPr>
                <w:rFonts w:hint="eastAsia" w:ascii="仿宋" w:hAnsi="仿宋" w:eastAsia="仿宋" w:cs="黑体"/>
                <w:bCs/>
                <w:sz w:val="28"/>
                <w:szCs w:val="28"/>
              </w:rPr>
              <w:t>笔录模版导入导出：支持笔录模板在开庭后导入和闭庭后导出下载</w:t>
            </w:r>
          </w:p>
          <w:p>
            <w:pPr>
              <w:snapToGrid w:val="0"/>
              <w:spacing w:line="579" w:lineRule="exact"/>
              <w:rPr>
                <w:rFonts w:hint="eastAsia" w:ascii="仿宋" w:hAnsi="仿宋" w:eastAsia="仿宋" w:cs="黑体"/>
                <w:bCs/>
                <w:sz w:val="28"/>
                <w:szCs w:val="28"/>
              </w:rPr>
            </w:pPr>
            <w:r>
              <w:rPr>
                <w:rFonts w:hint="eastAsia" w:ascii="仿宋" w:hAnsi="仿宋" w:eastAsia="仿宋" w:cs="黑体"/>
                <w:bCs/>
                <w:sz w:val="28"/>
                <w:szCs w:val="28"/>
              </w:rPr>
              <w:t>一键开庭、闭庭：支持通过对应按钮实现一键快速开庭和闭庭</w:t>
            </w:r>
          </w:p>
          <w:p>
            <w:pPr>
              <w:snapToGrid w:val="0"/>
              <w:spacing w:line="579" w:lineRule="exact"/>
              <w:rPr>
                <w:rFonts w:hint="eastAsia" w:ascii="仿宋" w:hAnsi="仿宋" w:eastAsia="仿宋" w:cs="黑体"/>
                <w:bCs/>
                <w:sz w:val="28"/>
                <w:szCs w:val="28"/>
              </w:rPr>
            </w:pPr>
            <w:r>
              <w:rPr>
                <w:rFonts w:hint="eastAsia" w:ascii="仿宋" w:hAnsi="仿宋" w:eastAsia="仿宋" w:cs="黑体"/>
                <w:bCs/>
                <w:sz w:val="28"/>
                <w:szCs w:val="28"/>
              </w:rPr>
              <w:t>庭审阶段控制：支持开庭时中途休庭和继续开庭的控制管理</w:t>
            </w:r>
          </w:p>
          <w:p>
            <w:pPr>
              <w:snapToGrid w:val="0"/>
              <w:spacing w:line="579" w:lineRule="exact"/>
              <w:rPr>
                <w:rFonts w:hint="eastAsia" w:ascii="仿宋" w:hAnsi="仿宋" w:eastAsia="仿宋" w:cs="黑体"/>
                <w:bCs/>
                <w:sz w:val="28"/>
                <w:szCs w:val="28"/>
              </w:rPr>
            </w:pPr>
            <w:r>
              <w:rPr>
                <w:rFonts w:hint="eastAsia" w:ascii="仿宋" w:hAnsi="仿宋" w:eastAsia="仿宋" w:cs="黑体"/>
                <w:bCs/>
                <w:sz w:val="28"/>
                <w:szCs w:val="28"/>
              </w:rPr>
              <w:t>示证切换控制：支持通过画面控制进行示证展台画面和书记员电脑画面的切换控制</w:t>
            </w:r>
          </w:p>
          <w:p>
            <w:pPr>
              <w:snapToGrid w:val="0"/>
              <w:spacing w:line="579" w:lineRule="exact"/>
              <w:rPr>
                <w:rFonts w:hint="eastAsia" w:ascii="仿宋" w:hAnsi="仿宋" w:eastAsia="仿宋" w:cs="黑体"/>
                <w:bCs/>
                <w:sz w:val="28"/>
                <w:szCs w:val="28"/>
              </w:rPr>
            </w:pPr>
            <w:r>
              <w:rPr>
                <w:rFonts w:hint="eastAsia" w:ascii="仿宋" w:hAnsi="仿宋" w:eastAsia="仿宋" w:cs="黑体"/>
                <w:bCs/>
                <w:sz w:val="28"/>
                <w:szCs w:val="28"/>
              </w:rPr>
              <w:t>笔录当庭校对：支持通过画面控制把书记员电脑画面发送给其他人员电脑画面上进行笔录当庭校对</w:t>
            </w:r>
          </w:p>
          <w:p>
            <w:pPr>
              <w:snapToGrid w:val="0"/>
              <w:spacing w:line="579" w:lineRule="exact"/>
              <w:rPr>
                <w:rFonts w:hint="eastAsia" w:ascii="仿宋" w:hAnsi="仿宋" w:eastAsia="仿宋" w:cs="黑体"/>
                <w:bCs/>
                <w:sz w:val="28"/>
                <w:szCs w:val="28"/>
              </w:rPr>
            </w:pPr>
            <w:r>
              <w:rPr>
                <w:rFonts w:hint="eastAsia" w:ascii="仿宋" w:hAnsi="仿宋" w:eastAsia="仿宋" w:cs="黑体"/>
                <w:bCs/>
                <w:sz w:val="28"/>
                <w:szCs w:val="28"/>
              </w:rPr>
              <w:t>本地和远程笔录打印：支持书记员电脑本地直接打印和远程打印笔录</w:t>
            </w:r>
          </w:p>
          <w:p>
            <w:pPr>
              <w:snapToGrid w:val="0"/>
              <w:spacing w:line="579" w:lineRule="exact"/>
              <w:rPr>
                <w:rFonts w:hint="eastAsia" w:ascii="仿宋" w:hAnsi="仿宋" w:eastAsia="仿宋" w:cs="黑体"/>
                <w:bCs/>
                <w:sz w:val="28"/>
                <w:szCs w:val="28"/>
              </w:rPr>
            </w:pPr>
            <w:r>
              <w:rPr>
                <w:rFonts w:hint="eastAsia" w:ascii="仿宋" w:hAnsi="仿宋" w:eastAsia="仿宋" w:cs="黑体"/>
                <w:bCs/>
                <w:sz w:val="28"/>
                <w:szCs w:val="28"/>
              </w:rPr>
              <w:t>智能问答功能：支持通过庭审系统随时唤起AI智能助手，实现基于国产生成式大语言模型的智能问答与法律法规查询、释义功能。</w:t>
            </w:r>
          </w:p>
          <w:p>
            <w:pPr>
              <w:snapToGrid w:val="0"/>
              <w:spacing w:line="579" w:lineRule="exact"/>
              <w:rPr>
                <w:rFonts w:hint="eastAsia" w:ascii="仿宋" w:hAnsi="仿宋" w:eastAsia="仿宋" w:cs="黑体"/>
                <w:bCs/>
                <w:sz w:val="28"/>
                <w:szCs w:val="28"/>
              </w:rPr>
            </w:pPr>
            <w:r>
              <w:rPr>
                <w:rFonts w:hint="eastAsia" w:ascii="仿宋" w:hAnsi="仿宋" w:eastAsia="仿宋" w:cs="黑体"/>
                <w:bCs/>
                <w:sz w:val="28"/>
                <w:szCs w:val="28"/>
              </w:rPr>
              <w:t>系统支持语音识别模块，软件采用B/S架构并嵌入庭审综合管理平台，与PCM处理系统无缝对接，</w:t>
            </w:r>
            <w:bookmarkStart w:id="0" w:name="_GoBack"/>
            <w:bookmarkEnd w:id="0"/>
            <w:r>
              <w:rPr>
                <w:rFonts w:hint="eastAsia" w:ascii="仿宋" w:hAnsi="仿宋" w:eastAsia="仿宋" w:cs="黑体"/>
                <w:bCs/>
                <w:sz w:val="28"/>
                <w:szCs w:val="28"/>
              </w:rPr>
              <w:t>实现高实时性的角色区分语音转文字功能，中文普通话识别准确率≥98.5%（提供承诺书）。</w:t>
            </w:r>
          </w:p>
          <w:p>
            <w:pPr>
              <w:snapToGrid w:val="0"/>
              <w:spacing w:line="579" w:lineRule="exact"/>
              <w:rPr>
                <w:rFonts w:hint="eastAsia" w:ascii="仿宋" w:hAnsi="仿宋" w:eastAsia="仿宋" w:cs="黑体"/>
                <w:bCs/>
                <w:sz w:val="28"/>
                <w:szCs w:val="28"/>
              </w:rPr>
            </w:pPr>
            <w:r>
              <w:rPr>
                <w:rFonts w:hint="eastAsia" w:ascii="仿宋" w:hAnsi="仿宋" w:eastAsia="仿宋" w:cs="黑体"/>
                <w:bCs/>
                <w:sz w:val="28"/>
                <w:szCs w:val="28"/>
              </w:rPr>
              <w:t>音视频文件播放、上传、保存</w:t>
            </w:r>
          </w:p>
          <w:p>
            <w:pPr>
              <w:snapToGrid w:val="0"/>
              <w:spacing w:line="579" w:lineRule="exact"/>
              <w:rPr>
                <w:rFonts w:hint="eastAsia" w:ascii="仿宋" w:hAnsi="仿宋" w:eastAsia="仿宋" w:cs="黑体"/>
                <w:bCs/>
                <w:sz w:val="28"/>
                <w:szCs w:val="28"/>
              </w:rPr>
            </w:pPr>
            <w:r>
              <w:rPr>
                <w:rFonts w:hint="eastAsia" w:ascii="仿宋" w:hAnsi="仿宋" w:eastAsia="仿宋" w:cs="黑体"/>
                <w:bCs/>
                <w:sz w:val="28"/>
                <w:szCs w:val="28"/>
              </w:rPr>
              <w:t>音视频文件管理：支持音视频文件的添加上传、宣读播放和下载保存</w:t>
            </w:r>
          </w:p>
          <w:p>
            <w:pPr>
              <w:snapToGrid w:val="0"/>
              <w:spacing w:line="579" w:lineRule="exact"/>
              <w:rPr>
                <w:rFonts w:hint="eastAsia" w:ascii="仿宋" w:hAnsi="仿宋" w:eastAsia="仿宋" w:cs="黑体"/>
                <w:bCs/>
                <w:sz w:val="28"/>
                <w:szCs w:val="28"/>
              </w:rPr>
            </w:pPr>
            <w:r>
              <w:rPr>
                <w:rFonts w:hint="eastAsia" w:ascii="仿宋" w:hAnsi="仿宋" w:eastAsia="仿宋" w:cs="黑体"/>
                <w:bCs/>
                <w:sz w:val="28"/>
                <w:szCs w:val="28"/>
              </w:rPr>
              <w:t>实物展示、远程播放传输音视频文件展示等</w:t>
            </w:r>
          </w:p>
          <w:p>
            <w:pPr>
              <w:snapToGrid w:val="0"/>
              <w:spacing w:line="579" w:lineRule="exact"/>
              <w:rPr>
                <w:rFonts w:hint="eastAsia" w:ascii="仿宋" w:hAnsi="仿宋" w:eastAsia="仿宋" w:cs="黑体"/>
                <w:bCs/>
                <w:sz w:val="28"/>
                <w:szCs w:val="28"/>
              </w:rPr>
            </w:pPr>
            <w:r>
              <w:rPr>
                <w:rFonts w:hint="eastAsia" w:ascii="仿宋" w:hAnsi="仿宋" w:eastAsia="仿宋" w:cs="黑体"/>
                <w:bCs/>
                <w:sz w:val="28"/>
                <w:szCs w:val="28"/>
              </w:rPr>
              <w:t>本地和远程示证展示：支持开庭时示证实物展示和远程音视频文件展示</w:t>
            </w:r>
          </w:p>
          <w:p>
            <w:pPr>
              <w:snapToGrid w:val="0"/>
              <w:spacing w:line="579" w:lineRule="exact"/>
              <w:rPr>
                <w:rFonts w:hint="eastAsia" w:ascii="仿宋" w:hAnsi="仿宋" w:eastAsia="仿宋" w:cs="黑体"/>
                <w:bCs/>
                <w:sz w:val="28"/>
                <w:szCs w:val="28"/>
              </w:rPr>
            </w:pPr>
            <w:r>
              <w:rPr>
                <w:rFonts w:hint="eastAsia" w:ascii="仿宋" w:hAnsi="仿宋" w:eastAsia="仿宋" w:cs="黑体"/>
                <w:bCs/>
                <w:sz w:val="28"/>
                <w:szCs w:val="28"/>
              </w:rPr>
              <w:t>数据多重备份：支持庭审录像实现硬盘备份、光盘备份，服务器多备份，实现3+备份</w:t>
            </w:r>
          </w:p>
          <w:p>
            <w:pPr>
              <w:snapToGrid w:val="0"/>
              <w:spacing w:line="579" w:lineRule="exact"/>
              <w:rPr>
                <w:rFonts w:hint="eastAsia" w:ascii="仿宋" w:hAnsi="仿宋" w:eastAsia="仿宋" w:cs="黑体"/>
                <w:bCs/>
                <w:sz w:val="28"/>
                <w:szCs w:val="28"/>
              </w:rPr>
            </w:pPr>
            <w:r>
              <w:rPr>
                <w:rFonts w:hint="eastAsia" w:ascii="仿宋" w:hAnsi="仿宋" w:eastAsia="仿宋" w:cs="黑体"/>
                <w:bCs/>
                <w:sz w:val="28"/>
                <w:szCs w:val="28"/>
              </w:rPr>
              <w:t>一键开庭自动录像，进行全数字化归档</w:t>
            </w:r>
          </w:p>
          <w:p>
            <w:pPr>
              <w:snapToGrid w:val="0"/>
              <w:spacing w:line="579" w:lineRule="exact"/>
              <w:rPr>
                <w:rFonts w:hint="eastAsia" w:ascii="仿宋" w:hAnsi="仿宋" w:eastAsia="仿宋" w:cs="黑体"/>
                <w:bCs/>
                <w:sz w:val="28"/>
                <w:szCs w:val="28"/>
              </w:rPr>
            </w:pPr>
            <w:r>
              <w:rPr>
                <w:rFonts w:hint="eastAsia" w:ascii="仿宋" w:hAnsi="仿宋" w:eastAsia="仿宋" w:cs="黑体"/>
                <w:bCs/>
                <w:sz w:val="28"/>
                <w:szCs w:val="28"/>
              </w:rPr>
              <w:t>自动录像归档：支持开庭时自动同步开启录像，闭庭时自动关闭录像并保存</w:t>
            </w:r>
          </w:p>
          <w:p>
            <w:pPr>
              <w:snapToGrid w:val="0"/>
              <w:spacing w:line="579" w:lineRule="exact"/>
              <w:rPr>
                <w:rFonts w:hint="eastAsia" w:ascii="仿宋" w:hAnsi="仿宋" w:eastAsia="仿宋" w:cs="黑体"/>
                <w:bCs/>
                <w:sz w:val="28"/>
                <w:szCs w:val="28"/>
              </w:rPr>
            </w:pPr>
            <w:r>
              <w:rPr>
                <w:rFonts w:hint="eastAsia" w:ascii="仿宋" w:hAnsi="仿宋" w:eastAsia="仿宋" w:cs="黑体"/>
                <w:bCs/>
                <w:sz w:val="28"/>
                <w:szCs w:val="28"/>
              </w:rPr>
              <w:t>用户权限分级管理：支持根据不同系统用户管理设定不同系统操作权限</w:t>
            </w:r>
          </w:p>
          <w:p>
            <w:pPr>
              <w:snapToGrid w:val="0"/>
              <w:spacing w:line="579" w:lineRule="exact"/>
              <w:rPr>
                <w:rFonts w:hint="eastAsia" w:ascii="仿宋" w:hAnsi="仿宋" w:eastAsia="仿宋" w:cs="黑体"/>
                <w:bCs/>
                <w:sz w:val="28"/>
                <w:szCs w:val="28"/>
              </w:rPr>
            </w:pPr>
            <w:r>
              <w:rPr>
                <w:rFonts w:hint="eastAsia" w:ascii="仿宋" w:hAnsi="仿宋" w:eastAsia="仿宋" w:cs="黑体"/>
                <w:bCs/>
                <w:sz w:val="28"/>
                <w:szCs w:val="28"/>
              </w:rPr>
              <w:t>案件排期管理：支持案件排期参数的修改设置管理</w:t>
            </w:r>
          </w:p>
          <w:p>
            <w:pPr>
              <w:snapToGrid w:val="0"/>
              <w:spacing w:line="579" w:lineRule="exact"/>
              <w:rPr>
                <w:rFonts w:hint="eastAsia" w:ascii="仿宋" w:hAnsi="仿宋" w:eastAsia="仿宋" w:cs="黑体"/>
                <w:bCs/>
                <w:sz w:val="28"/>
                <w:szCs w:val="28"/>
              </w:rPr>
            </w:pPr>
            <w:r>
              <w:rPr>
                <w:rFonts w:hint="eastAsia" w:ascii="仿宋" w:hAnsi="仿宋" w:eastAsia="仿宋" w:cs="黑体"/>
                <w:bCs/>
                <w:sz w:val="28"/>
                <w:szCs w:val="28"/>
              </w:rPr>
              <w:t>支持与深圳市劳动人事争议调解仲裁系统无缝对接（提供对接承诺函，格式自拟）</w:t>
            </w:r>
          </w:p>
        </w:tc>
      </w:tr>
    </w:tbl>
    <w:p>
      <w:pPr>
        <w:snapToGrid w:val="0"/>
        <w:spacing w:line="579"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三、商务需求</w:t>
      </w:r>
    </w:p>
    <w:p>
      <w:pPr>
        <w:snapToGrid w:val="0"/>
        <w:spacing w:line="579" w:lineRule="exact"/>
        <w:ind w:firstLine="560" w:firstLineChars="200"/>
        <w:rPr>
          <w:rFonts w:hint="eastAsia" w:ascii="黑体" w:hAnsi="黑体" w:eastAsia="黑体" w:cs="黑体"/>
          <w:bCs/>
          <w:sz w:val="28"/>
          <w:szCs w:val="28"/>
        </w:rPr>
      </w:pPr>
      <w:r>
        <w:rPr>
          <w:rFonts w:hint="eastAsia" w:ascii="仿宋_GB2312" w:eastAsia="仿宋_GB2312"/>
          <w:bCs/>
          <w:sz w:val="28"/>
          <w:szCs w:val="28"/>
        </w:rPr>
        <w:t>（一）服务期：签订合同之日起30日内</w:t>
      </w:r>
    </w:p>
    <w:p>
      <w:pPr>
        <w:snapToGrid w:val="0"/>
        <w:spacing w:line="579" w:lineRule="exact"/>
        <w:ind w:firstLine="560" w:firstLineChars="200"/>
        <w:rPr>
          <w:rFonts w:ascii="仿宋_GB2312" w:eastAsia="仿宋_GB2312"/>
          <w:bCs/>
          <w:sz w:val="28"/>
          <w:szCs w:val="28"/>
        </w:rPr>
      </w:pPr>
      <w:r>
        <w:rPr>
          <w:rFonts w:hint="eastAsia" w:ascii="仿宋_GB2312" w:eastAsia="仿宋_GB2312"/>
          <w:bCs/>
          <w:sz w:val="28"/>
          <w:szCs w:val="28"/>
        </w:rPr>
        <w:t>（二）服务地点：深圳市福田区劳动人事争议仲裁院</w:t>
      </w:r>
    </w:p>
    <w:p>
      <w:pPr>
        <w:snapToGrid w:val="0"/>
        <w:spacing w:line="579" w:lineRule="exact"/>
        <w:ind w:firstLine="560" w:firstLineChars="200"/>
        <w:rPr>
          <w:rFonts w:ascii="仿宋_GB2312" w:eastAsia="仿宋_GB2312"/>
          <w:bCs/>
          <w:sz w:val="28"/>
          <w:szCs w:val="28"/>
        </w:rPr>
      </w:pPr>
      <w:r>
        <w:rPr>
          <w:rFonts w:hint="eastAsia" w:ascii="仿宋_GB2312" w:eastAsia="仿宋_GB2312"/>
          <w:bCs/>
          <w:sz w:val="28"/>
          <w:szCs w:val="28"/>
        </w:rPr>
        <w:t>（三）报价要求：</w:t>
      </w:r>
    </w:p>
    <w:p>
      <w:pPr>
        <w:snapToGrid w:val="0"/>
        <w:spacing w:line="579" w:lineRule="exact"/>
        <w:ind w:firstLine="560" w:firstLineChars="200"/>
        <w:rPr>
          <w:rFonts w:ascii="仿宋_GB2312" w:eastAsia="仿宋_GB2312"/>
          <w:bCs/>
          <w:sz w:val="28"/>
          <w:szCs w:val="28"/>
        </w:rPr>
      </w:pPr>
      <w:r>
        <w:rPr>
          <w:rFonts w:hint="eastAsia" w:ascii="仿宋_GB2312" w:eastAsia="仿宋_GB2312"/>
          <w:bCs/>
          <w:sz w:val="28"/>
          <w:szCs w:val="28"/>
        </w:rPr>
        <w:t>1.本项目服务费采用包干制，应包括服务成本、法定税费和企业的利润。由响应人根据采购文件所提供的资料自行测算响应报价；一经中选，报价总价作为供应商与采购人签定的合同金额，合同期限内不做调整；</w:t>
      </w:r>
    </w:p>
    <w:p>
      <w:pPr>
        <w:snapToGrid w:val="0"/>
        <w:spacing w:line="579" w:lineRule="exact"/>
        <w:ind w:firstLine="560" w:firstLineChars="200"/>
        <w:rPr>
          <w:rFonts w:ascii="仿宋_GB2312" w:eastAsia="仿宋_GB2312"/>
          <w:bCs/>
          <w:sz w:val="28"/>
          <w:szCs w:val="28"/>
        </w:rPr>
      </w:pPr>
      <w:r>
        <w:rPr>
          <w:rFonts w:hint="eastAsia" w:ascii="仿宋_GB2312" w:eastAsia="仿宋_GB2312"/>
          <w:bCs/>
          <w:sz w:val="28"/>
          <w:szCs w:val="28"/>
        </w:rPr>
        <w:t>2.响应人应根据本企业的成本自行决定报价，但不得以低于其企业成本的报价响应；</w:t>
      </w:r>
    </w:p>
    <w:p>
      <w:pPr>
        <w:snapToGrid w:val="0"/>
        <w:spacing w:line="579" w:lineRule="exact"/>
        <w:ind w:firstLine="560" w:firstLineChars="200"/>
        <w:rPr>
          <w:rFonts w:ascii="仿宋_GB2312" w:eastAsia="仿宋_GB2312"/>
          <w:bCs/>
          <w:sz w:val="28"/>
          <w:szCs w:val="28"/>
        </w:rPr>
      </w:pPr>
      <w:r>
        <w:rPr>
          <w:rFonts w:hint="eastAsia" w:ascii="仿宋_GB2312" w:eastAsia="仿宋_GB2312"/>
          <w:bCs/>
          <w:sz w:val="28"/>
          <w:szCs w:val="28"/>
        </w:rPr>
        <w:t>3.响应人的报价不得超过项目预算金额；</w:t>
      </w:r>
    </w:p>
    <w:p>
      <w:pPr>
        <w:snapToGrid w:val="0"/>
        <w:spacing w:line="579" w:lineRule="exact"/>
        <w:ind w:firstLine="560" w:firstLineChars="200"/>
        <w:rPr>
          <w:rFonts w:ascii="仿宋_GB2312" w:eastAsia="仿宋_GB2312"/>
          <w:bCs/>
          <w:sz w:val="28"/>
          <w:szCs w:val="28"/>
        </w:rPr>
      </w:pPr>
      <w:r>
        <w:rPr>
          <w:rFonts w:hint="eastAsia" w:ascii="仿宋_GB2312" w:eastAsia="仿宋_GB2312"/>
          <w:bCs/>
          <w:sz w:val="28"/>
          <w:szCs w:val="28"/>
        </w:rPr>
        <w:t>4.响应人的报价，应是本项目采购范围和采购文件及合同条款上所列的各项内容中所述的全部，不得以任何理由予以重复，并以响应人最终提出的综合单价或者总价为依据；</w:t>
      </w:r>
    </w:p>
    <w:p>
      <w:pPr>
        <w:snapToGrid w:val="0"/>
        <w:spacing w:line="579" w:lineRule="exact"/>
        <w:ind w:firstLine="560" w:firstLineChars="200"/>
        <w:rPr>
          <w:rFonts w:ascii="仿宋_GB2312" w:eastAsia="仿宋_GB2312"/>
          <w:bCs/>
          <w:sz w:val="28"/>
          <w:szCs w:val="28"/>
        </w:rPr>
      </w:pPr>
      <w:r>
        <w:rPr>
          <w:rFonts w:hint="eastAsia" w:ascii="仿宋_GB2312" w:eastAsia="仿宋_GB2312"/>
          <w:bCs/>
          <w:sz w:val="28"/>
          <w:szCs w:val="28"/>
        </w:rPr>
        <w:t>5.响应人无须对电脑、显示器、打印机、液晶电视、手提电脑等采购人拟通过政府集采购置的设备进行报价；</w:t>
      </w:r>
    </w:p>
    <w:p>
      <w:pPr>
        <w:snapToGrid w:val="0"/>
        <w:spacing w:line="579" w:lineRule="exact"/>
        <w:ind w:firstLine="560" w:firstLineChars="200"/>
        <w:rPr>
          <w:rFonts w:ascii="仿宋_GB2312" w:eastAsia="仿宋_GB2312"/>
          <w:bCs/>
          <w:sz w:val="28"/>
          <w:szCs w:val="28"/>
        </w:rPr>
      </w:pPr>
      <w:r>
        <w:rPr>
          <w:rFonts w:hint="eastAsia" w:ascii="仿宋_GB2312" w:eastAsia="仿宋_GB2312"/>
          <w:bCs/>
          <w:sz w:val="28"/>
          <w:szCs w:val="28"/>
        </w:rPr>
        <w:t>5.除非采购人通过修改采购文件予以更正，否则，响应人应毫无例外地按响应文件所列的清单中项目和数量填报综合单价和合价；</w:t>
      </w:r>
    </w:p>
    <w:p>
      <w:pPr>
        <w:snapToGrid w:val="0"/>
        <w:spacing w:line="579" w:lineRule="exact"/>
        <w:ind w:firstLine="560" w:firstLineChars="200"/>
        <w:rPr>
          <w:rFonts w:ascii="仿宋_GB2312" w:eastAsia="仿宋_GB2312"/>
          <w:bCs/>
          <w:sz w:val="28"/>
          <w:szCs w:val="28"/>
        </w:rPr>
      </w:pPr>
      <w:r>
        <w:rPr>
          <w:rFonts w:hint="eastAsia" w:ascii="仿宋_GB2312" w:eastAsia="仿宋_GB2312"/>
          <w:bCs/>
          <w:sz w:val="28"/>
          <w:szCs w:val="28"/>
        </w:rPr>
        <w:t>6.响应人应先到项目地点踏勘以充分了解项目的位置、情况、道路及任何其它足以影响投标报价的情况，任何因忽视或者误解项目情况而导致的索赔或者服务期限延长申请将不获批准；</w:t>
      </w:r>
    </w:p>
    <w:p>
      <w:pPr>
        <w:snapToGrid w:val="0"/>
        <w:spacing w:line="579" w:lineRule="exact"/>
        <w:ind w:firstLine="560" w:firstLineChars="200"/>
        <w:rPr>
          <w:rFonts w:ascii="仿宋_GB2312" w:eastAsia="仿宋_GB2312"/>
          <w:bCs/>
          <w:sz w:val="28"/>
          <w:szCs w:val="28"/>
        </w:rPr>
      </w:pPr>
      <w:r>
        <w:rPr>
          <w:rFonts w:hint="eastAsia" w:ascii="仿宋_GB2312" w:eastAsia="仿宋_GB2312"/>
          <w:bCs/>
          <w:sz w:val="28"/>
          <w:szCs w:val="28"/>
        </w:rPr>
        <w:t>7.响应人不得期望通过索赔等方式获取报价补偿，否则，除可能遭到拒绝外，还可能将被作为不良行为记录在案，并可能影响其以后参加政府采购的项目投标。各响应人在报价时，应充分考虑报价的风险。</w:t>
      </w:r>
    </w:p>
    <w:p>
      <w:pPr>
        <w:snapToGrid w:val="0"/>
        <w:spacing w:line="579" w:lineRule="exact"/>
        <w:ind w:firstLine="560" w:firstLineChars="200"/>
        <w:rPr>
          <w:rFonts w:ascii="仿宋_GB2312" w:eastAsia="仿宋_GB2312"/>
          <w:bCs/>
          <w:sz w:val="28"/>
          <w:szCs w:val="28"/>
        </w:rPr>
      </w:pPr>
      <w:r>
        <w:rPr>
          <w:rFonts w:hint="eastAsia" w:ascii="仿宋_GB2312" w:eastAsia="仿宋_GB2312"/>
          <w:bCs/>
          <w:sz w:val="28"/>
          <w:szCs w:val="28"/>
        </w:rPr>
        <w:t>（四）付款方式：按照完成服务工作进度和工作量制定分期付款方式，由采购人和供应商协商决定。</w:t>
      </w:r>
    </w:p>
    <w:p>
      <w:pPr>
        <w:snapToGrid w:val="0"/>
        <w:spacing w:line="579" w:lineRule="exact"/>
        <w:ind w:firstLine="560" w:firstLineChars="200"/>
        <w:rPr>
          <w:rFonts w:ascii="仿宋_GB2312" w:eastAsia="仿宋_GB2312"/>
          <w:bCs/>
          <w:sz w:val="28"/>
          <w:szCs w:val="28"/>
        </w:rPr>
      </w:pPr>
      <w:r>
        <w:rPr>
          <w:rFonts w:hint="eastAsia" w:ascii="仿宋_GB2312" w:eastAsia="仿宋_GB2312"/>
          <w:bCs/>
          <w:sz w:val="28"/>
          <w:szCs w:val="28"/>
        </w:rPr>
        <w:t>（五）验收：采购人在项目建设完成后，将按照合同约定的内容对设备进行逐项验收。项目验收后，双方共同签署验收报告，验收报告将作为服务费尾款支付的重要依据。</w:t>
      </w:r>
    </w:p>
    <w:p>
      <w:pPr>
        <w:snapToGrid w:val="0"/>
        <w:spacing w:line="579" w:lineRule="exact"/>
        <w:ind w:firstLine="560" w:firstLineChars="200"/>
        <w:rPr>
          <w:rFonts w:ascii="仿宋_GB2312" w:eastAsia="仿宋_GB2312"/>
          <w:bCs/>
          <w:sz w:val="28"/>
          <w:szCs w:val="28"/>
        </w:rPr>
      </w:pPr>
      <w:r>
        <w:rPr>
          <w:rFonts w:hint="eastAsia" w:ascii="仿宋_GB2312" w:eastAsia="仿宋_GB2312"/>
          <w:bCs/>
          <w:sz w:val="28"/>
          <w:szCs w:val="28"/>
        </w:rPr>
        <w:t>（六）违约责任：</w:t>
      </w:r>
    </w:p>
    <w:p>
      <w:pPr>
        <w:snapToGrid w:val="0"/>
        <w:spacing w:line="579" w:lineRule="exact"/>
        <w:ind w:firstLine="560" w:firstLineChars="200"/>
        <w:rPr>
          <w:rFonts w:ascii="仿宋_GB2312" w:eastAsia="仿宋_GB2312"/>
          <w:bCs/>
          <w:sz w:val="28"/>
          <w:szCs w:val="28"/>
        </w:rPr>
      </w:pPr>
      <w:r>
        <w:rPr>
          <w:rFonts w:hint="eastAsia" w:ascii="仿宋_GB2312" w:eastAsia="仿宋_GB2312"/>
          <w:bCs/>
          <w:sz w:val="28"/>
          <w:szCs w:val="28"/>
        </w:rPr>
        <w:t>1.质量瑕疵的补救措施和索赔</w:t>
      </w:r>
    </w:p>
    <w:p>
      <w:pPr>
        <w:snapToGrid w:val="0"/>
        <w:spacing w:line="579" w:lineRule="exact"/>
        <w:ind w:firstLine="560" w:firstLineChars="200"/>
        <w:rPr>
          <w:rFonts w:ascii="仿宋_GB2312" w:eastAsia="仿宋_GB2312"/>
          <w:bCs/>
          <w:sz w:val="28"/>
          <w:szCs w:val="28"/>
        </w:rPr>
      </w:pPr>
      <w:r>
        <w:rPr>
          <w:rFonts w:hint="eastAsia" w:ascii="仿宋_GB2312" w:eastAsia="仿宋_GB2312"/>
          <w:bCs/>
          <w:sz w:val="28"/>
          <w:szCs w:val="28"/>
        </w:rPr>
        <w:t>供应商提供的设备不符合质量标准或存在质量缺陷，采购人有权根据法定质量检测部门出具的检验证书向供应商人提出索赔。</w:t>
      </w:r>
    </w:p>
    <w:p>
      <w:pPr>
        <w:snapToGrid w:val="0"/>
        <w:spacing w:line="579" w:lineRule="exact"/>
        <w:ind w:firstLine="560" w:firstLineChars="200"/>
        <w:rPr>
          <w:rFonts w:ascii="仿宋_GB2312" w:eastAsia="仿宋_GB2312"/>
          <w:bCs/>
          <w:sz w:val="28"/>
          <w:szCs w:val="28"/>
        </w:rPr>
      </w:pPr>
      <w:r>
        <w:rPr>
          <w:rFonts w:hint="eastAsia" w:ascii="仿宋_GB2312" w:eastAsia="仿宋_GB2312"/>
          <w:bCs/>
          <w:sz w:val="28"/>
          <w:szCs w:val="28"/>
        </w:rPr>
        <w:t>2.在质量保证期内，如果供应商对缺陷设备负有责任而采购人提出索赔，供应商应按照采购人同意的下列一种或多种方式解决索赔事宜：</w:t>
      </w:r>
    </w:p>
    <w:p>
      <w:pPr>
        <w:snapToGrid w:val="0"/>
        <w:spacing w:line="579" w:lineRule="exact"/>
        <w:ind w:firstLine="560" w:firstLineChars="200"/>
        <w:rPr>
          <w:rFonts w:ascii="仿宋_GB2312" w:eastAsia="仿宋_GB2312"/>
          <w:bCs/>
          <w:sz w:val="28"/>
          <w:szCs w:val="28"/>
        </w:rPr>
      </w:pPr>
      <w:r>
        <w:rPr>
          <w:rFonts w:hint="eastAsia" w:ascii="仿宋_GB2312" w:eastAsia="仿宋_GB2312"/>
          <w:bCs/>
          <w:sz w:val="28"/>
          <w:szCs w:val="28"/>
        </w:rPr>
        <w:t>（1）供应商同意退货并将货款退还给采购人，由此发生的一切费用和损失由供应商承担。</w:t>
      </w:r>
    </w:p>
    <w:p>
      <w:pPr>
        <w:snapToGrid w:val="0"/>
        <w:spacing w:line="579" w:lineRule="exact"/>
        <w:ind w:firstLine="560" w:firstLineChars="200"/>
        <w:rPr>
          <w:rFonts w:ascii="仿宋_GB2312" w:eastAsia="仿宋_GB2312"/>
          <w:bCs/>
          <w:sz w:val="28"/>
          <w:szCs w:val="28"/>
        </w:rPr>
      </w:pPr>
      <w:r>
        <w:rPr>
          <w:rFonts w:hint="eastAsia" w:ascii="仿宋_GB2312" w:eastAsia="仿宋_GB2312"/>
          <w:bCs/>
          <w:sz w:val="28"/>
          <w:szCs w:val="28"/>
        </w:rPr>
        <w:t>（2）根据设备的质量状况以及采购人所遭受的损失，经过双方商定降低设备的价格。</w:t>
      </w:r>
    </w:p>
    <w:p>
      <w:pPr>
        <w:snapToGrid w:val="0"/>
        <w:spacing w:line="579" w:lineRule="exact"/>
        <w:ind w:firstLine="560" w:firstLineChars="200"/>
        <w:rPr>
          <w:rFonts w:ascii="仿宋_GB2312" w:eastAsia="仿宋_GB2312"/>
          <w:bCs/>
          <w:sz w:val="28"/>
          <w:szCs w:val="28"/>
        </w:rPr>
      </w:pPr>
      <w:r>
        <w:rPr>
          <w:rFonts w:hint="eastAsia" w:ascii="仿宋_GB2312" w:eastAsia="仿宋_GB2312"/>
          <w:bCs/>
          <w:sz w:val="28"/>
          <w:szCs w:val="28"/>
        </w:rPr>
        <w:t>（3）供应商应在接到采购人通知后七天内负责采用符合合同规定的规格、质量和性能要求的新零件、部件和设备来替换有缺陷的部分或修补缺陷部分，其费用由供应商负担；同时，供应商应在约定的质量保证期基础上相应延长修补和/或替换件的质量保证期。</w:t>
      </w:r>
    </w:p>
    <w:p>
      <w:pPr>
        <w:snapToGrid w:val="0"/>
        <w:spacing w:line="579" w:lineRule="exact"/>
        <w:ind w:firstLine="560" w:firstLineChars="200"/>
        <w:rPr>
          <w:rFonts w:ascii="仿宋_GB2312" w:eastAsia="仿宋_GB2312"/>
          <w:bCs/>
          <w:sz w:val="28"/>
          <w:szCs w:val="28"/>
        </w:rPr>
      </w:pPr>
      <w:r>
        <w:rPr>
          <w:rFonts w:hint="eastAsia" w:ascii="仿宋_GB2312" w:eastAsia="仿宋_GB2312"/>
          <w:bCs/>
          <w:sz w:val="28"/>
          <w:szCs w:val="28"/>
        </w:rPr>
        <w:t>3.如果在采购人发出索赔通知后十天内供应商未作答复，上述索赔应视为已被供应商接受。如果供应商未能在采购人发出索赔通知后十天内或采购人同意延长的期限内，按照上述规定的任何一种方法采取补救措施，采购人有权从应付货款中扣除索赔金额或者没收质量保证金，如不足以弥补采购人损失的，采购人有权进一步要求供应商赔偿。</w:t>
      </w:r>
    </w:p>
    <w:p>
      <w:pPr>
        <w:snapToGrid w:val="0"/>
        <w:spacing w:line="579" w:lineRule="exact"/>
        <w:ind w:firstLine="560" w:firstLineChars="200"/>
        <w:rPr>
          <w:rFonts w:ascii="仿宋_GB2312" w:eastAsia="仿宋_GB2312"/>
          <w:bCs/>
          <w:sz w:val="28"/>
          <w:szCs w:val="28"/>
        </w:rPr>
      </w:pPr>
      <w:r>
        <w:rPr>
          <w:rFonts w:hint="eastAsia" w:ascii="仿宋_GB2312" w:eastAsia="仿宋_GB2312"/>
          <w:bCs/>
          <w:sz w:val="28"/>
          <w:szCs w:val="28"/>
        </w:rPr>
        <w:t>（七）其他：</w:t>
      </w:r>
    </w:p>
    <w:p>
      <w:pPr>
        <w:snapToGrid w:val="0"/>
        <w:spacing w:line="579" w:lineRule="exact"/>
        <w:ind w:firstLine="560" w:firstLineChars="200"/>
        <w:rPr>
          <w:rFonts w:ascii="仿宋_GB2312" w:eastAsia="仿宋_GB2312"/>
          <w:bCs/>
          <w:sz w:val="28"/>
          <w:szCs w:val="28"/>
        </w:rPr>
      </w:pPr>
      <w:r>
        <w:rPr>
          <w:rFonts w:hint="eastAsia" w:ascii="仿宋_GB2312" w:eastAsia="仿宋_GB2312"/>
          <w:bCs/>
          <w:sz w:val="28"/>
          <w:szCs w:val="28"/>
        </w:rPr>
        <w:t>1.供应商应派有经验的技术人员到现场进行安装、调试，直到设备正常使用；</w:t>
      </w:r>
    </w:p>
    <w:p>
      <w:pPr>
        <w:snapToGrid w:val="0"/>
        <w:spacing w:line="579" w:lineRule="exact"/>
        <w:ind w:firstLine="560" w:firstLineChars="200"/>
        <w:rPr>
          <w:rFonts w:ascii="仿宋_GB2312" w:eastAsia="仿宋_GB2312"/>
          <w:bCs/>
          <w:sz w:val="28"/>
          <w:szCs w:val="28"/>
        </w:rPr>
      </w:pPr>
      <w:r>
        <w:rPr>
          <w:rFonts w:hint="eastAsia" w:ascii="仿宋_GB2312" w:eastAsia="仿宋_GB2312"/>
          <w:bCs/>
          <w:sz w:val="28"/>
          <w:szCs w:val="28"/>
        </w:rPr>
        <w:t>2.供应商应提供售后服务队伍名称、资质、人员配备、联系地址、电话等详细资料；</w:t>
      </w:r>
    </w:p>
    <w:p>
      <w:pPr>
        <w:snapToGrid w:val="0"/>
        <w:spacing w:line="579" w:lineRule="exact"/>
        <w:ind w:firstLine="560" w:firstLineChars="200"/>
        <w:rPr>
          <w:rFonts w:ascii="仿宋_GB2312" w:eastAsia="仿宋_GB2312"/>
          <w:bCs/>
          <w:sz w:val="28"/>
          <w:szCs w:val="28"/>
        </w:rPr>
      </w:pPr>
      <w:r>
        <w:rPr>
          <w:rFonts w:hint="eastAsia" w:ascii="仿宋_GB2312" w:eastAsia="仿宋_GB2312"/>
          <w:bCs/>
          <w:sz w:val="28"/>
          <w:szCs w:val="28"/>
        </w:rPr>
        <w:t>3.质量保证期为3年，时间自验收合格并交付使用之日起计算。在质保期内：如遇与所供产品有关的问题，供应商应1小时内响应，4小时提供解决方案，在接采购人通知后24小时内赶到现场提供免费服务；应无偿并迅速更换由于元件缺陷及制造工艺等问题而发生故障的产品；采购人如果迁移，应免费协助指导设备拆除及新场地安装；</w:t>
      </w:r>
    </w:p>
    <w:p>
      <w:pPr>
        <w:snapToGrid w:val="0"/>
        <w:spacing w:line="579" w:lineRule="exact"/>
        <w:ind w:firstLine="560" w:firstLineChars="200"/>
        <w:rPr>
          <w:rFonts w:ascii="仿宋_GB2312" w:eastAsia="仿宋_GB2312"/>
          <w:bCs/>
          <w:sz w:val="28"/>
          <w:szCs w:val="28"/>
        </w:rPr>
      </w:pPr>
      <w:r>
        <w:rPr>
          <w:rFonts w:hint="eastAsia" w:ascii="仿宋_GB2312" w:eastAsia="仿宋_GB2312"/>
          <w:bCs/>
          <w:sz w:val="28"/>
          <w:szCs w:val="28"/>
        </w:rPr>
        <w:t>4.在质保期结束前半年内，供应商须派专业工程师与采购人代表对系统设备进行另一次测试维保，任何故障由供应商自费解决并取得采购人的认可；</w:t>
      </w:r>
    </w:p>
    <w:p>
      <w:pPr>
        <w:snapToGrid w:val="0"/>
        <w:spacing w:line="579" w:lineRule="exact"/>
        <w:ind w:firstLine="560" w:firstLineChars="200"/>
        <w:rPr>
          <w:rFonts w:ascii="仿宋_GB2312" w:eastAsia="仿宋_GB2312"/>
          <w:bCs/>
          <w:sz w:val="28"/>
          <w:szCs w:val="28"/>
        </w:rPr>
      </w:pPr>
      <w:r>
        <w:rPr>
          <w:rFonts w:hint="eastAsia" w:ascii="仿宋_GB2312" w:eastAsia="仿宋_GB2312"/>
          <w:bCs/>
          <w:sz w:val="28"/>
          <w:szCs w:val="28"/>
        </w:rPr>
        <w:t>5.质保期满后：如遇与所供产品有关的问题，供应商应1小时内响应，4小时提供解决方案，24小时内赶到现场提供服务；若小型设备出现问题，如有试验需求时，维修过程中应提供合格产品供采购人短期使用；为此项目应以优惠价格终生提供保障其正常运行的配件和维护并能提供送货上门服务（以设备正常使用年限为限），应按其在深圳地区同类服务的优惠价格提供保修服务；</w:t>
      </w:r>
    </w:p>
    <w:p>
      <w:pPr>
        <w:snapToGrid w:val="0"/>
        <w:spacing w:line="579" w:lineRule="exact"/>
        <w:ind w:firstLine="560" w:firstLineChars="200"/>
        <w:rPr>
          <w:rFonts w:hint="eastAsia" w:ascii="仿宋_GB2312" w:eastAsia="仿宋_GB2312"/>
          <w:b/>
          <w:sz w:val="28"/>
          <w:szCs w:val="28"/>
        </w:rPr>
      </w:pPr>
      <w:r>
        <w:rPr>
          <w:rFonts w:hint="eastAsia" w:ascii="仿宋_GB2312" w:eastAsia="仿宋_GB2312"/>
          <w:bCs/>
          <w:sz w:val="28"/>
          <w:szCs w:val="28"/>
        </w:rPr>
        <w:t>6.供应商需每年定期按采购人要求派遣专业工程师进行技术交流指导。</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85E6E2"/>
    <w:multiLevelType w:val="singleLevel"/>
    <w:tmpl w:val="C885E6E2"/>
    <w:lvl w:ilvl="0" w:tentative="0">
      <w:start w:val="2"/>
      <w:numFmt w:val="chineseCounting"/>
      <w:suff w:val="nothing"/>
      <w:lvlText w:val="%1、"/>
      <w:lvlJc w:val="left"/>
      <w:rPr>
        <w:rFonts w:hint="eastAsia"/>
      </w:rPr>
    </w:lvl>
  </w:abstractNum>
  <w:abstractNum w:abstractNumId="1">
    <w:nsid w:val="646260FA"/>
    <w:multiLevelType w:val="multilevel"/>
    <w:tmpl w:val="646260FA"/>
    <w:lvl w:ilvl="0" w:tentative="0">
      <w:start w:val="1"/>
      <w:numFmt w:val="decimal"/>
      <w:pStyle w:val="18"/>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6DBF04F4"/>
    <w:multiLevelType w:val="multilevel"/>
    <w:tmpl w:val="6DBF04F4"/>
    <w:lvl w:ilvl="0" w:tentative="0">
      <w:start w:val="1"/>
      <w:numFmt w:val="none"/>
      <w:pStyle w:val="2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MxYzZmNGFlMjg2OTlkOTg2MmJhMjYzOGIxYTEzZmQifQ=="/>
  </w:docVars>
  <w:rsids>
    <w:rsidRoot w:val="FFFF3A3B"/>
    <w:rsid w:val="001F155E"/>
    <w:rsid w:val="00213F17"/>
    <w:rsid w:val="002B7A5E"/>
    <w:rsid w:val="003F3863"/>
    <w:rsid w:val="0068690E"/>
    <w:rsid w:val="008B7EFF"/>
    <w:rsid w:val="009D0185"/>
    <w:rsid w:val="00A25C41"/>
    <w:rsid w:val="00A40A78"/>
    <w:rsid w:val="00A67920"/>
    <w:rsid w:val="00C92AB6"/>
    <w:rsid w:val="00D12152"/>
    <w:rsid w:val="00DE3FEF"/>
    <w:rsid w:val="00DF46F9"/>
    <w:rsid w:val="00E04571"/>
    <w:rsid w:val="00E61898"/>
    <w:rsid w:val="0206141C"/>
    <w:rsid w:val="07B97ED4"/>
    <w:rsid w:val="088724A4"/>
    <w:rsid w:val="177F7B69"/>
    <w:rsid w:val="2E6FFC4A"/>
    <w:rsid w:val="2F5ABB1F"/>
    <w:rsid w:val="2F5E6713"/>
    <w:rsid w:val="36EDB7AD"/>
    <w:rsid w:val="37EFCF21"/>
    <w:rsid w:val="3EFEE3B9"/>
    <w:rsid w:val="3FF38E4A"/>
    <w:rsid w:val="412F5ECA"/>
    <w:rsid w:val="41765261"/>
    <w:rsid w:val="477D54EB"/>
    <w:rsid w:val="4BF53443"/>
    <w:rsid w:val="529E2307"/>
    <w:rsid w:val="5BED357E"/>
    <w:rsid w:val="5EADC10E"/>
    <w:rsid w:val="5F77289B"/>
    <w:rsid w:val="61B22326"/>
    <w:rsid w:val="6C440485"/>
    <w:rsid w:val="6CC34CE3"/>
    <w:rsid w:val="6DF7D88A"/>
    <w:rsid w:val="6F3CB7E9"/>
    <w:rsid w:val="6F8B3A62"/>
    <w:rsid w:val="6FBFE3D3"/>
    <w:rsid w:val="6FDA1C82"/>
    <w:rsid w:val="6FFDB520"/>
    <w:rsid w:val="71475B21"/>
    <w:rsid w:val="73DDBECE"/>
    <w:rsid w:val="74BB065F"/>
    <w:rsid w:val="75FBFFBA"/>
    <w:rsid w:val="75FF398E"/>
    <w:rsid w:val="776DBBA2"/>
    <w:rsid w:val="79EC0992"/>
    <w:rsid w:val="7D5BCBDA"/>
    <w:rsid w:val="7D7FF47A"/>
    <w:rsid w:val="7DFF8BA1"/>
    <w:rsid w:val="7E7D2023"/>
    <w:rsid w:val="7EA592BF"/>
    <w:rsid w:val="7F474449"/>
    <w:rsid w:val="7F5E43D6"/>
    <w:rsid w:val="7F6FC615"/>
    <w:rsid w:val="7F8FD6CC"/>
    <w:rsid w:val="7FF4E33F"/>
    <w:rsid w:val="7FF7BAB6"/>
    <w:rsid w:val="83EEBB14"/>
    <w:rsid w:val="8CCB72EE"/>
    <w:rsid w:val="9DBD843E"/>
    <w:rsid w:val="9F7BEC10"/>
    <w:rsid w:val="9FDF5E06"/>
    <w:rsid w:val="A3BDC4B1"/>
    <w:rsid w:val="A7B2B052"/>
    <w:rsid w:val="ABE9E356"/>
    <w:rsid w:val="AE69A740"/>
    <w:rsid w:val="AEDC0902"/>
    <w:rsid w:val="B39F7DAE"/>
    <w:rsid w:val="BD77A451"/>
    <w:rsid w:val="D7BB3BB6"/>
    <w:rsid w:val="D7ED58BA"/>
    <w:rsid w:val="D7ED9627"/>
    <w:rsid w:val="D7F71223"/>
    <w:rsid w:val="D7FF7B7F"/>
    <w:rsid w:val="DAFE8C6A"/>
    <w:rsid w:val="DB6B1D0A"/>
    <w:rsid w:val="DC3D5BB2"/>
    <w:rsid w:val="DD57336A"/>
    <w:rsid w:val="DDFED0A2"/>
    <w:rsid w:val="DFC3A8A7"/>
    <w:rsid w:val="DFF2E7FA"/>
    <w:rsid w:val="E7FB3370"/>
    <w:rsid w:val="EAFF627B"/>
    <w:rsid w:val="EFAF3EF9"/>
    <w:rsid w:val="F3BDB5D1"/>
    <w:rsid w:val="F5FEC221"/>
    <w:rsid w:val="F7BE3BEE"/>
    <w:rsid w:val="F7FF3631"/>
    <w:rsid w:val="F926C1BA"/>
    <w:rsid w:val="FA4D2E3E"/>
    <w:rsid w:val="FAF77C95"/>
    <w:rsid w:val="FBF3D30F"/>
    <w:rsid w:val="FBFBFD3C"/>
    <w:rsid w:val="FDDBD9D5"/>
    <w:rsid w:val="FDEF27D7"/>
    <w:rsid w:val="FEFB5C0E"/>
    <w:rsid w:val="FEFF4941"/>
    <w:rsid w:val="FF3E776C"/>
    <w:rsid w:val="FF3F499E"/>
    <w:rsid w:val="FF5F3A0D"/>
    <w:rsid w:val="FF7CF2E3"/>
    <w:rsid w:val="FFDF6DB6"/>
    <w:rsid w:val="FFF7A206"/>
    <w:rsid w:val="FFFF3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560" w:lineRule="exact"/>
      <w:ind w:firstLine="420" w:firstLineChars="200"/>
    </w:pPr>
  </w:style>
  <w:style w:type="paragraph" w:styleId="4">
    <w:name w:val="annotation text"/>
    <w:basedOn w:val="1"/>
    <w:qFormat/>
    <w:uiPriority w:val="0"/>
    <w:pPr>
      <w:jc w:val="left"/>
    </w:pPr>
  </w:style>
  <w:style w:type="paragraph" w:styleId="5">
    <w:name w:val="Body Text"/>
    <w:basedOn w:val="1"/>
    <w:qFormat/>
    <w:uiPriority w:val="0"/>
    <w:pPr>
      <w:spacing w:after="120"/>
    </w:pPr>
  </w:style>
  <w:style w:type="paragraph" w:styleId="6">
    <w:name w:val="Balloon Text"/>
    <w:basedOn w:val="1"/>
    <w:link w:val="2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footnote text"/>
    <w:basedOn w:val="1"/>
    <w:qFormat/>
    <w:uiPriority w:val="0"/>
    <w:pPr>
      <w:snapToGrid w:val="0"/>
      <w:jc w:val="left"/>
    </w:pPr>
    <w:rPr>
      <w:sz w:val="18"/>
    </w:rPr>
  </w:style>
  <w:style w:type="table" w:styleId="11">
    <w:name w:val="Table Grid"/>
    <w:basedOn w:val="1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otnote reference"/>
    <w:basedOn w:val="12"/>
    <w:qFormat/>
    <w:uiPriority w:val="0"/>
    <w:rPr>
      <w:vertAlign w:val="superscript"/>
    </w:rPr>
  </w:style>
  <w:style w:type="paragraph" w:customStyle="1" w:styleId="14">
    <w:name w:val="p0"/>
    <w:basedOn w:val="1"/>
    <w:qFormat/>
    <w:uiPriority w:val="0"/>
    <w:pPr>
      <w:widowControl/>
    </w:pPr>
    <w:rPr>
      <w:rFonts w:hint="eastAsia" w:ascii="宋体" w:hAnsi="宋体"/>
    </w:rPr>
  </w:style>
  <w:style w:type="paragraph" w:customStyle="1" w:styleId="15">
    <w:name w:val="列出段落2"/>
    <w:basedOn w:val="1"/>
    <w:qFormat/>
    <w:uiPriority w:val="34"/>
    <w:pPr>
      <w:ind w:firstLine="420" w:firstLineChars="200"/>
    </w:pPr>
  </w:style>
  <w:style w:type="paragraph" w:customStyle="1" w:styleId="16">
    <w:name w:val="p15"/>
    <w:basedOn w:val="1"/>
    <w:qFormat/>
    <w:uiPriority w:val="0"/>
    <w:pPr>
      <w:widowControl/>
    </w:pPr>
    <w:rPr>
      <w:rFonts w:hint="eastAsia" w:ascii="宋体" w:hAnsi="宋体"/>
    </w:rPr>
  </w:style>
  <w:style w:type="paragraph" w:customStyle="1" w:styleId="17">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
    <w:name w:val="标准文件_正文表标题"/>
    <w:next w:val="19"/>
    <w:qFormat/>
    <w:uiPriority w:val="0"/>
    <w:pPr>
      <w:numPr>
        <w:ilvl w:val="0"/>
        <w:numId w:val="1"/>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9">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
    <w:name w:val="标准文件_注："/>
    <w:next w:val="19"/>
    <w:qFormat/>
    <w:uiPriority w:val="0"/>
    <w:pPr>
      <w:widowControl w:val="0"/>
      <w:numPr>
        <w:ilvl w:val="0"/>
        <w:numId w:val="2"/>
      </w:numPr>
      <w:autoSpaceDE w:val="0"/>
      <w:autoSpaceDN w:val="0"/>
      <w:jc w:val="both"/>
    </w:pPr>
    <w:rPr>
      <w:rFonts w:ascii="宋体" w:hAnsi="Times New Roman" w:eastAsia="宋体" w:cs="Times New Roman"/>
      <w:sz w:val="18"/>
      <w:szCs w:val="18"/>
      <w:lang w:val="en-US" w:eastAsia="zh-CN" w:bidi="ar-SA"/>
    </w:rPr>
  </w:style>
  <w:style w:type="character" w:customStyle="1" w:styleId="21">
    <w:name w:val="批注框文本 字符"/>
    <w:basedOn w:val="12"/>
    <w:link w:val="6"/>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492</Words>
  <Characters>2808</Characters>
  <Lines>23</Lines>
  <Paragraphs>6</Paragraphs>
  <TotalTime>5</TotalTime>
  <ScaleCrop>false</ScaleCrop>
  <LinksUpToDate>false</LinksUpToDate>
  <CharactersWithSpaces>3294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2024-11-07T14:36:00Z</dcterms:created>
  <dc:creator>高加能</dc:creator>
  <cp:lastModifiedBy>Administrator</cp:lastModifiedBy>
  <cp:lastPrinted>2022-08-06T02:00:00Z</cp:lastPrinted>
  <dcterms:modified xsi:type="dcterms:W3CDTF">2024-11-08T09:36:04Z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069D876181DA451EA3FA5900D6DC2D95_13</vt:lpwstr>
  </property>
</Properties>
</file>