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00" w:lineRule="exact"/>
        <w:ind w:firstLine="0" w:firstLineChars="0"/>
        <w:jc w:val="center"/>
        <w:outlineLvl w:val="1"/>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采购项目需求方案</w:t>
      </w:r>
    </w:p>
    <w:p>
      <w:pPr>
        <w:widowControl w:val="0"/>
        <w:spacing w:line="240" w:lineRule="auto"/>
        <w:ind w:firstLine="420" w:firstLineChars="200"/>
        <w:jc w:val="both"/>
        <w:rPr>
          <w:rFonts w:asciiTheme="minorHAnsi" w:hAnsiTheme="minorHAnsi" w:eastAsiaTheme="minorEastAsia" w:cstheme="minorBidi"/>
          <w:kern w:val="2"/>
          <w:sz w:val="21"/>
          <w:szCs w:val="24"/>
          <w:lang w:val="en-US" w:eastAsia="zh-CN" w:bidi="ar-SA"/>
        </w:rPr>
      </w:pPr>
    </w:p>
    <w:tbl>
      <w:tblPr>
        <w:tblStyle w:val="9"/>
        <w:tblW w:w="5000" w:type="pct"/>
        <w:tblInd w:w="0" w:type="dxa"/>
        <w:tblLayout w:type="fixed"/>
        <w:tblCellMar>
          <w:top w:w="0" w:type="dxa"/>
          <w:left w:w="108" w:type="dxa"/>
          <w:bottom w:w="0" w:type="dxa"/>
          <w:right w:w="108" w:type="dxa"/>
        </w:tblCellMar>
      </w:tblPr>
      <w:tblGrid>
        <w:gridCol w:w="1177"/>
        <w:gridCol w:w="2110"/>
        <w:gridCol w:w="1600"/>
        <w:gridCol w:w="1941"/>
        <w:gridCol w:w="2572"/>
      </w:tblGrid>
      <w:tr>
        <w:tblPrEx>
          <w:tblCellMar>
            <w:top w:w="0" w:type="dxa"/>
            <w:left w:w="108" w:type="dxa"/>
            <w:bottom w:w="0" w:type="dxa"/>
            <w:right w:w="108" w:type="dxa"/>
          </w:tblCellMar>
        </w:tblPrEx>
        <w:trPr>
          <w:trHeight w:val="672" w:hRule="exact"/>
        </w:trPr>
        <w:tc>
          <w:tcPr>
            <w:tcW w:w="62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项目名称</w:t>
            </w:r>
          </w:p>
        </w:tc>
        <w:tc>
          <w:tcPr>
            <w:tcW w:w="1973" w:type="pct"/>
            <w:gridSpan w:val="2"/>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kern w:val="0"/>
                <w:sz w:val="24"/>
                <w:lang w:eastAsia="zh-CN"/>
              </w:rPr>
              <w:t>福保街道民意速办购买服务项目</w:t>
            </w:r>
            <w:r>
              <w:rPr>
                <w:rFonts w:hint="eastAsia" w:ascii="仿宋_GB2312" w:hAnsi="仿宋_GB2312" w:eastAsia="仿宋_GB2312" w:cs="仿宋_GB2312"/>
                <w:kern w:val="0"/>
                <w:sz w:val="24"/>
              </w:rPr>
              <w:t>　</w:t>
            </w:r>
          </w:p>
        </w:tc>
        <w:tc>
          <w:tcPr>
            <w:tcW w:w="1032"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color w:val="auto"/>
                <w:kern w:val="0"/>
                <w:sz w:val="24"/>
              </w:rPr>
            </w:pPr>
            <w:r>
              <w:rPr>
                <w:rFonts w:hint="eastAsia" w:ascii="仿宋_GB2312" w:hAnsi="仿宋_GB2312" w:eastAsia="仿宋_GB2312" w:cs="仿宋_GB2312"/>
                <w:b/>
                <w:bCs/>
                <w:color w:val="auto"/>
                <w:kern w:val="0"/>
                <w:sz w:val="24"/>
              </w:rPr>
              <w:t>预算金额</w:t>
            </w:r>
          </w:p>
        </w:tc>
        <w:tc>
          <w:tcPr>
            <w:tcW w:w="1367"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 xml:space="preserve">     </w:t>
            </w:r>
            <w:r>
              <w:rPr>
                <w:rFonts w:hint="eastAsia" w:ascii="仿宋_GB2312" w:hAnsi="仿宋_GB2312" w:eastAsia="仿宋_GB2312" w:cs="仿宋_GB2312"/>
                <w:color w:val="auto"/>
                <w:kern w:val="0"/>
                <w:sz w:val="24"/>
                <w:lang w:val="en-US" w:eastAsia="zh-CN"/>
              </w:rPr>
              <w:t>60万</w:t>
            </w:r>
            <w:r>
              <w:rPr>
                <w:rFonts w:hint="eastAsia" w:ascii="仿宋_GB2312" w:hAnsi="仿宋_GB2312" w:eastAsia="仿宋_GB2312" w:cs="仿宋_GB2312"/>
                <w:color w:val="auto"/>
                <w:kern w:val="0"/>
                <w:sz w:val="24"/>
              </w:rPr>
              <w:t>元</w:t>
            </w:r>
          </w:p>
        </w:tc>
      </w:tr>
      <w:tr>
        <w:tblPrEx>
          <w:tblCellMar>
            <w:top w:w="0" w:type="dxa"/>
            <w:left w:w="108" w:type="dxa"/>
            <w:bottom w:w="0" w:type="dxa"/>
            <w:right w:w="108" w:type="dxa"/>
          </w:tblCellMar>
        </w:tblPrEx>
        <w:trPr>
          <w:trHeight w:val="567" w:hRule="exact"/>
        </w:trPr>
        <w:tc>
          <w:tcPr>
            <w:tcW w:w="626"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采购部门</w:t>
            </w:r>
          </w:p>
        </w:tc>
        <w:tc>
          <w:tcPr>
            <w:tcW w:w="1973" w:type="pct"/>
            <w:gridSpan w:val="2"/>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kern w:val="0"/>
                <w:sz w:val="24"/>
                <w:lang w:eastAsia="zh-CN"/>
              </w:rPr>
              <w:t>智慧分拨部</w:t>
            </w:r>
            <w:r>
              <w:rPr>
                <w:rFonts w:hint="eastAsia" w:ascii="仿宋_GB2312" w:hAnsi="仿宋_GB2312" w:eastAsia="仿宋_GB2312" w:cs="仿宋_GB2312"/>
                <w:kern w:val="0"/>
                <w:sz w:val="24"/>
              </w:rPr>
              <w:t>　</w:t>
            </w:r>
          </w:p>
        </w:tc>
        <w:tc>
          <w:tcPr>
            <w:tcW w:w="103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项目经办人</w:t>
            </w:r>
          </w:p>
        </w:tc>
        <w:tc>
          <w:tcPr>
            <w:tcW w:w="136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rPr>
              <w:t>　</w:t>
            </w:r>
            <w:r>
              <w:rPr>
                <w:rFonts w:hint="eastAsia" w:ascii="仿宋_GB2312" w:hAnsi="仿宋_GB2312" w:eastAsia="仿宋_GB2312" w:cs="仿宋_GB2312"/>
                <w:kern w:val="0"/>
                <w:sz w:val="24"/>
                <w:lang w:eastAsia="zh-CN"/>
              </w:rPr>
              <w:t>龚梦冉</w:t>
            </w:r>
          </w:p>
        </w:tc>
      </w:tr>
      <w:tr>
        <w:tblPrEx>
          <w:tblCellMar>
            <w:top w:w="0" w:type="dxa"/>
            <w:left w:w="108" w:type="dxa"/>
            <w:bottom w:w="0" w:type="dxa"/>
            <w:right w:w="108" w:type="dxa"/>
          </w:tblCellMar>
        </w:tblPrEx>
        <w:trPr>
          <w:trHeight w:val="240" w:hRule="atLeast"/>
        </w:trPr>
        <w:tc>
          <w:tcPr>
            <w:tcW w:w="626"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采购类型</w:t>
            </w:r>
          </w:p>
        </w:tc>
        <w:tc>
          <w:tcPr>
            <w:tcW w:w="1122"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lang w:eastAsia="zh-CN"/>
              </w:rPr>
              <w:t>☑</w:t>
            </w:r>
            <w:r>
              <w:rPr>
                <w:rFonts w:hint="eastAsia" w:ascii="仿宋_GB2312" w:hAnsi="仿宋_GB2312" w:eastAsia="仿宋_GB2312" w:cs="仿宋_GB2312"/>
                <w:b/>
                <w:bCs/>
                <w:kern w:val="0"/>
                <w:sz w:val="24"/>
              </w:rPr>
              <w:t>服务类</w:t>
            </w:r>
            <w:r>
              <w:rPr>
                <w:rFonts w:hint="eastAsia" w:ascii="仿宋_GB2312" w:hAnsi="仿宋_GB2312" w:eastAsia="仿宋_GB2312" w:cs="仿宋_GB2312"/>
                <w:kern w:val="0"/>
                <w:sz w:val="24"/>
              </w:rPr>
              <w:t>　</w:t>
            </w:r>
          </w:p>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rPr>
              <w:t>□货物类</w:t>
            </w:r>
            <w:r>
              <w:rPr>
                <w:rFonts w:hint="eastAsia" w:ascii="仿宋_GB2312" w:hAnsi="仿宋_GB2312" w:eastAsia="仿宋_GB2312" w:cs="仿宋_GB2312"/>
                <w:kern w:val="0"/>
                <w:sz w:val="24"/>
              </w:rPr>
              <w:t>　</w:t>
            </w:r>
          </w:p>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rPr>
              <w:t>□工程类</w:t>
            </w:r>
          </w:p>
        </w:tc>
        <w:tc>
          <w:tcPr>
            <w:tcW w:w="850" w:type="pct"/>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采购方式</w:t>
            </w:r>
          </w:p>
        </w:tc>
        <w:tc>
          <w:tcPr>
            <w:tcW w:w="2400"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□直接确定供应商（3万元以下）</w:t>
            </w:r>
            <w:r>
              <w:rPr>
                <w:rFonts w:hint="eastAsia" w:ascii="仿宋_GB2312" w:hAnsi="仿宋_GB2312" w:eastAsia="仿宋_GB2312" w:cs="仿宋_GB2312"/>
                <w:b/>
                <w:bCs/>
                <w:kern w:val="0"/>
                <w:sz w:val="24"/>
              </w:rPr>
              <w:sym w:font="Wingdings 2" w:char="00A3"/>
            </w:r>
            <w:r>
              <w:rPr>
                <w:rFonts w:hint="eastAsia" w:ascii="仿宋_GB2312" w:hAnsi="仿宋_GB2312" w:eastAsia="仿宋_GB2312" w:cs="仿宋_GB2312"/>
                <w:b/>
                <w:bCs/>
                <w:kern w:val="0"/>
                <w:sz w:val="24"/>
              </w:rPr>
              <w:t>询价</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b/>
                <w:bCs/>
                <w:kern w:val="0"/>
                <w:sz w:val="24"/>
              </w:rPr>
              <w:t xml:space="preserve">□直接确定供应商（特殊）   </w:t>
            </w:r>
            <w:r>
              <w:rPr>
                <w:rFonts w:hint="eastAsia" w:ascii="仿宋_GB2312" w:hAnsi="仿宋_GB2312" w:eastAsia="仿宋_GB2312" w:cs="仿宋_GB2312"/>
                <w:b/>
                <w:bCs/>
                <w:kern w:val="0"/>
                <w:sz w:val="24"/>
                <w:lang w:eastAsia="zh-CN"/>
              </w:rPr>
              <w:t>☑</w:t>
            </w:r>
            <w:r>
              <w:rPr>
                <w:rFonts w:hint="eastAsia" w:ascii="仿宋_GB2312" w:hAnsi="仿宋_GB2312" w:eastAsia="仿宋_GB2312" w:cs="仿宋_GB2312"/>
                <w:b/>
                <w:bCs/>
                <w:kern w:val="0"/>
                <w:sz w:val="24"/>
              </w:rPr>
              <w:t>比价谈判</w:t>
            </w:r>
          </w:p>
        </w:tc>
      </w:tr>
      <w:tr>
        <w:tblPrEx>
          <w:tblCellMar>
            <w:top w:w="0" w:type="dxa"/>
            <w:left w:w="108" w:type="dxa"/>
            <w:bottom w:w="0" w:type="dxa"/>
            <w:right w:w="108" w:type="dxa"/>
          </w:tblCellMar>
        </w:tblPrEx>
        <w:trPr>
          <w:trHeight w:val="680" w:hRule="atLeast"/>
        </w:trPr>
        <w:tc>
          <w:tcPr>
            <w:tcW w:w="626"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项目背景</w:t>
            </w:r>
          </w:p>
        </w:tc>
        <w:tc>
          <w:tcPr>
            <w:tcW w:w="4373" w:type="pct"/>
            <w:gridSpan w:val="4"/>
            <w:tcBorders>
              <w:top w:val="single" w:color="auto" w:sz="4" w:space="0"/>
              <w:left w:val="nil"/>
              <w:bottom w:val="single" w:color="auto" w:sz="4" w:space="0"/>
              <w:right w:val="single" w:color="auto" w:sz="4" w:space="0"/>
            </w:tcBorders>
          </w:tcPr>
          <w:p>
            <w:pPr>
              <w:widowControl/>
              <w:spacing w:line="240" w:lineRule="auto"/>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根据区委《关于深入推进党建引领基层治理实施民意速办改革的工作方案》</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区政数局《关于街道社区民意速办规范化建设“六个一”的通知》</w:t>
            </w:r>
            <w:r>
              <w:rPr>
                <w:rFonts w:hint="eastAsia" w:ascii="仿宋_GB2312" w:hAnsi="仿宋_GB2312" w:eastAsia="仿宋_GB2312" w:cs="仿宋_GB2312"/>
                <w:kern w:val="0"/>
                <w:sz w:val="24"/>
                <w:lang w:eastAsia="zh-CN"/>
              </w:rPr>
              <w:t>和区民意速办专项工作领导小组办公室《福田区民意速办改革工作配套实施方案》</w:t>
            </w:r>
            <w:r>
              <w:rPr>
                <w:rFonts w:hint="eastAsia" w:ascii="仿宋_GB2312" w:hAnsi="仿宋_GB2312" w:eastAsia="仿宋_GB2312" w:cs="仿宋_GB2312"/>
                <w:kern w:val="0"/>
                <w:sz w:val="24"/>
              </w:rPr>
              <w:t>要求，</w:t>
            </w:r>
            <w:r>
              <w:rPr>
                <w:rFonts w:hint="eastAsia" w:ascii="仿宋_GB2312" w:hAnsi="仿宋_GB2312" w:eastAsia="仿宋_GB2312" w:cs="仿宋_GB2312"/>
                <w:kern w:val="0"/>
                <w:sz w:val="24"/>
                <w:lang w:eastAsia="zh-CN"/>
              </w:rPr>
              <w:t>为</w:t>
            </w:r>
            <w:r>
              <w:rPr>
                <w:rFonts w:hint="eastAsia" w:ascii="仿宋_GB2312" w:hAnsi="仿宋_GB2312" w:eastAsia="仿宋_GB2312" w:cs="仿宋_GB2312"/>
                <w:kern w:val="0"/>
                <w:sz w:val="24"/>
              </w:rPr>
              <w:t>持续推动</w:t>
            </w:r>
            <w:r>
              <w:rPr>
                <w:rFonts w:hint="eastAsia" w:ascii="仿宋_GB2312" w:hAnsi="仿宋_GB2312" w:eastAsia="仿宋_GB2312" w:cs="仿宋_GB2312"/>
                <w:kern w:val="0"/>
                <w:sz w:val="24"/>
                <w:lang w:eastAsia="zh-CN"/>
              </w:rPr>
              <w:t>民意速办</w:t>
            </w:r>
            <w:r>
              <w:rPr>
                <w:rFonts w:hint="eastAsia" w:ascii="仿宋_GB2312" w:hAnsi="仿宋_GB2312" w:eastAsia="仿宋_GB2312" w:cs="仿宋_GB2312"/>
                <w:kern w:val="0"/>
                <w:sz w:val="24"/>
              </w:rPr>
              <w:t>“10-30-24”（10分钟内电话告知受理、30分钟内约见、紧急工单24小时办结）、“首办负责、牵头抓总、协办同责”等机制落地落实</w:t>
            </w:r>
            <w:r>
              <w:rPr>
                <w:rFonts w:hint="eastAsia" w:ascii="仿宋_GB2312" w:hAnsi="仿宋_GB2312" w:eastAsia="仿宋_GB2312" w:cs="仿宋_GB2312"/>
                <w:kern w:val="0"/>
                <w:sz w:val="24"/>
                <w:lang w:eastAsia="zh-CN"/>
              </w:rPr>
              <w:t>和提升居民满意度</w:t>
            </w:r>
            <w:r>
              <w:rPr>
                <w:rFonts w:hint="eastAsia" w:ascii="仿宋_GB2312" w:hAnsi="仿宋_GB2312" w:eastAsia="仿宋_GB2312" w:cs="仿宋_GB2312"/>
                <w:kern w:val="0"/>
                <w:sz w:val="24"/>
              </w:rPr>
              <w:t>。现拟通过购买服务提高居民诉求响应、跟进、督办、反馈和办结工作效率</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构建“民有所呼、我有所应”的民意智能速办</w:t>
            </w:r>
            <w:r>
              <w:rPr>
                <w:rFonts w:hint="eastAsia" w:ascii="仿宋_GB2312" w:hAnsi="仿宋_GB2312" w:eastAsia="仿宋_GB2312" w:cs="仿宋_GB2312"/>
                <w:kern w:val="0"/>
                <w:sz w:val="24"/>
                <w:lang w:eastAsia="zh-CN"/>
              </w:rPr>
              <w:t>工作体系</w:t>
            </w:r>
            <w:r>
              <w:rPr>
                <w:rFonts w:hint="eastAsia" w:ascii="仿宋_GB2312" w:hAnsi="仿宋_GB2312" w:eastAsia="仿宋_GB2312" w:cs="仿宋_GB2312"/>
                <w:kern w:val="0"/>
                <w:sz w:val="24"/>
                <w:lang w:val="en-US" w:eastAsia="zh-CN"/>
              </w:rPr>
              <w:t>。</w:t>
            </w:r>
            <w:r>
              <w:rPr>
                <w:rFonts w:hint="eastAsia" w:ascii="仿宋_GB2312" w:hAnsi="仿宋_GB2312" w:eastAsia="仿宋_GB2312" w:cs="仿宋_GB2312"/>
                <w:kern w:val="0"/>
                <w:sz w:val="24"/>
                <w:lang w:eastAsia="zh-CN"/>
              </w:rPr>
              <w:t>服务期一年。</w:t>
            </w:r>
          </w:p>
        </w:tc>
      </w:tr>
      <w:tr>
        <w:tblPrEx>
          <w:tblCellMar>
            <w:top w:w="0" w:type="dxa"/>
            <w:left w:w="108" w:type="dxa"/>
            <w:bottom w:w="0" w:type="dxa"/>
            <w:right w:w="108" w:type="dxa"/>
          </w:tblCellMar>
        </w:tblPrEx>
        <w:trPr>
          <w:trHeight w:val="712" w:hRule="atLeast"/>
        </w:trPr>
        <w:tc>
          <w:tcPr>
            <w:tcW w:w="626"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项目需求</w:t>
            </w:r>
          </w:p>
        </w:tc>
        <w:tc>
          <w:tcPr>
            <w:tcW w:w="4373"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项目技术要求：</w:t>
            </w:r>
          </w:p>
          <w:p>
            <w:pPr>
              <w:widowControl/>
              <w:spacing w:line="240" w:lineRule="auto"/>
              <w:ind w:firstLine="0" w:firstLineChars="0"/>
              <w:jc w:val="left"/>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1.对全量工单在10分钟内签收，电话告知市民受理情况；在</w:t>
            </w:r>
            <w:r>
              <w:rPr>
                <w:rFonts w:hint="default" w:ascii="仿宋_GB2312" w:hAnsi="仿宋_GB2312" w:eastAsia="仿宋_GB2312" w:cs="仿宋_GB2312"/>
                <w:kern w:val="0"/>
                <w:sz w:val="24"/>
                <w:lang w:val="en-US" w:eastAsia="zh-CN"/>
              </w:rPr>
              <w:t>30分钟内完成与市民的沟通联系和约见工作；</w:t>
            </w:r>
            <w:r>
              <w:rPr>
                <w:rFonts w:hint="eastAsia" w:ascii="仿宋_GB2312" w:hAnsi="仿宋_GB2312" w:eastAsia="仿宋_GB2312" w:cs="仿宋_GB2312"/>
                <w:kern w:val="0"/>
                <w:sz w:val="24"/>
                <w:lang w:val="en-US" w:eastAsia="zh-CN"/>
              </w:rPr>
              <w:t>并及时使用“响应外呼”和“反馈外呼”功能记录1030环节的节点时间。</w:t>
            </w:r>
          </w:p>
          <w:p>
            <w:pPr>
              <w:widowControl/>
              <w:spacing w:line="240" w:lineRule="auto"/>
              <w:ind w:firstLine="0" w:firstLineChars="0"/>
              <w:jc w:val="left"/>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2.“民意速办”工单分拨给各处置部门，并保持跟进。</w:t>
            </w:r>
          </w:p>
          <w:p>
            <w:pPr>
              <w:widowControl/>
              <w:spacing w:line="240" w:lineRule="auto"/>
              <w:ind w:firstLine="0" w:firstLineChars="0"/>
              <w:jc w:val="left"/>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3.对不明晰工单，联系市民核实具体诉求；沟通反馈区分拨中心。</w:t>
            </w:r>
          </w:p>
          <w:p>
            <w:pPr>
              <w:widowControl/>
              <w:spacing w:line="240" w:lineRule="auto"/>
              <w:ind w:firstLine="0" w:firstLineChars="0"/>
              <w:jc w:val="left"/>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4.督导“民意速办”每日到期工单，跟进督促处置部门按时办结。</w:t>
            </w:r>
          </w:p>
          <w:p>
            <w:pPr>
              <w:widowControl/>
              <w:spacing w:line="240" w:lineRule="auto"/>
              <w:ind w:firstLine="0" w:firstLineChars="0"/>
              <w:jc w:val="left"/>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5.接收区下发</w:t>
            </w:r>
            <w:r>
              <w:rPr>
                <w:rFonts w:hint="default" w:ascii="仿宋_GB2312" w:hAnsi="仿宋_GB2312" w:eastAsia="仿宋_GB2312" w:cs="仿宋_GB2312"/>
                <w:kern w:val="0"/>
                <w:sz w:val="24"/>
                <w:lang w:val="en-US" w:eastAsia="zh-CN"/>
              </w:rPr>
              <w:t>舆情日报上聚焦案例，</w:t>
            </w:r>
            <w:r>
              <w:rPr>
                <w:rFonts w:hint="eastAsia" w:ascii="仿宋_GB2312" w:hAnsi="仿宋_GB2312" w:eastAsia="仿宋_GB2312" w:cs="仿宋_GB2312"/>
                <w:kern w:val="0"/>
                <w:sz w:val="24"/>
                <w:lang w:val="en-US" w:eastAsia="zh-CN"/>
              </w:rPr>
              <w:t>并督促处置部门</w:t>
            </w:r>
            <w:r>
              <w:rPr>
                <w:rFonts w:hint="default" w:ascii="仿宋_GB2312" w:hAnsi="仿宋_GB2312" w:eastAsia="仿宋_GB2312" w:cs="仿宋_GB2312"/>
                <w:kern w:val="0"/>
                <w:sz w:val="24"/>
                <w:lang w:val="en-US" w:eastAsia="zh-CN"/>
              </w:rPr>
              <w:t>回复相关处置情况及处置结果</w:t>
            </w:r>
            <w:r>
              <w:rPr>
                <w:rFonts w:hint="eastAsia" w:ascii="仿宋_GB2312" w:hAnsi="仿宋_GB2312" w:eastAsia="仿宋_GB2312" w:cs="仿宋_GB2312"/>
                <w:kern w:val="0"/>
                <w:sz w:val="24"/>
                <w:lang w:val="en-US" w:eastAsia="zh-CN"/>
              </w:rPr>
              <w:t>。</w:t>
            </w:r>
          </w:p>
          <w:p>
            <w:pPr>
              <w:widowControl/>
              <w:spacing w:line="240" w:lineRule="auto"/>
              <w:ind w:firstLine="0" w:firstLineChars="0"/>
              <w:jc w:val="left"/>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6.接收上级案例批示，并督促处置部门重新落实。</w:t>
            </w:r>
          </w:p>
          <w:p>
            <w:pPr>
              <w:widowControl/>
              <w:spacing w:line="240" w:lineRule="auto"/>
              <w:ind w:firstLine="0" w:firstLineChars="0"/>
              <w:jc w:val="left"/>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7.审核“民意速办”部门处置结果，督促处置部门按格式要求修改处置结果。</w:t>
            </w:r>
          </w:p>
          <w:p>
            <w:pPr>
              <w:widowControl/>
              <w:spacing w:line="240" w:lineRule="auto"/>
              <w:ind w:firstLine="0" w:firstLineChars="0"/>
              <w:jc w:val="left"/>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8.日报、周报撰写整理，汇总制作民意速办数据日报及领导关注事件。</w:t>
            </w:r>
          </w:p>
          <w:p>
            <w:pPr>
              <w:widowControl/>
              <w:spacing w:line="240" w:lineRule="auto"/>
              <w:ind w:firstLine="0" w:firstLineChars="0"/>
              <w:jc w:val="left"/>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9.工单办结后，对诉求人进行满意度回访，并登记回访反馈。</w:t>
            </w:r>
          </w:p>
          <w:p>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10.统计分析相关数据，及时出具数据汇总，作为街道改进方案的支撑。</w:t>
            </w:r>
          </w:p>
          <w:p>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11.定期组织安排团队及处置部门进行相关培训工作。</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12.领导安排的其他事宜。</w:t>
            </w:r>
          </w:p>
        </w:tc>
      </w:tr>
      <w:tr>
        <w:tblPrEx>
          <w:tblCellMar>
            <w:top w:w="0" w:type="dxa"/>
            <w:left w:w="108" w:type="dxa"/>
            <w:bottom w:w="0" w:type="dxa"/>
            <w:right w:w="108" w:type="dxa"/>
          </w:tblCellMar>
        </w:tblPrEx>
        <w:trPr>
          <w:trHeight w:val="2557" w:hRule="atLeast"/>
        </w:trPr>
        <w:tc>
          <w:tcPr>
            <w:tcW w:w="626"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_GB2312" w:hAnsi="仿宋_GB2312" w:eastAsia="仿宋_GB2312" w:cs="仿宋_GB2312"/>
                <w:kern w:val="0"/>
                <w:sz w:val="24"/>
              </w:rPr>
            </w:pPr>
          </w:p>
        </w:tc>
        <w:tc>
          <w:tcPr>
            <w:tcW w:w="4373"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项目商务要求：</w:t>
            </w:r>
          </w:p>
          <w:p>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1.服务期限：2024年12月14日至2025年12月13日。</w:t>
            </w:r>
          </w:p>
          <w:p>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2.付款方式：此项目分三次据实结算，每次经甲方验收通过后乙方出具合法有效发票，并在甲方审核通过后向乙方一次性支付发票对应金额。具体付款方式：首款于签订合同后，支付合同总额的30%给乙方；中期款合同期内的第9个月后，支付合同总额的40%给乙方；尾款于项目结束并经甲方项目履约评价后，支付合同总额的30%给乙方。</w:t>
            </w:r>
          </w:p>
          <w:p>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3.报价要求：本项目预算金额：人民币60万元，响应报价超过项目预算金额的视为无效响应。最终合同签订价格以我单位聘请的第三方审计价格为准；响应总价必须是完成该项目的一切费用总和，包括涉及的各项服务费，以及国家规定的各项税费等一切费用。</w:t>
            </w:r>
          </w:p>
          <w:p>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4.违约责任：</w:t>
            </w:r>
            <w:r>
              <w:rPr>
                <w:rFonts w:hint="default" w:ascii="仿宋_GB2312" w:hAnsi="仿宋_GB2312" w:eastAsia="仿宋_GB2312" w:cs="仿宋_GB2312"/>
                <w:kern w:val="0"/>
                <w:sz w:val="24"/>
                <w:lang w:val="en-US" w:eastAsia="zh-CN"/>
              </w:rPr>
              <w:t>乙方及其工作人员不履行或未按照合同约定履行服务的</w:t>
            </w:r>
            <w:r>
              <w:rPr>
                <w:rFonts w:hint="eastAsia" w:ascii="仿宋_GB2312" w:hAnsi="仿宋_GB2312" w:eastAsia="仿宋_GB2312" w:cs="仿宋_GB2312"/>
                <w:kern w:val="0"/>
                <w:sz w:val="24"/>
                <w:lang w:val="en-US" w:eastAsia="zh-CN"/>
              </w:rPr>
              <w:t>，</w:t>
            </w:r>
            <w:r>
              <w:rPr>
                <w:rFonts w:hint="default" w:ascii="仿宋_GB2312" w:hAnsi="仿宋_GB2312" w:eastAsia="仿宋_GB2312" w:cs="仿宋_GB2312"/>
                <w:kern w:val="0"/>
                <w:sz w:val="24"/>
                <w:lang w:val="en-US" w:eastAsia="zh-CN"/>
              </w:rPr>
              <w:t>甲方有权要求乙方改正，乙方拒不改正</w:t>
            </w:r>
            <w:r>
              <w:rPr>
                <w:rFonts w:hint="eastAsia" w:ascii="仿宋_GB2312" w:hAnsi="仿宋_GB2312" w:eastAsia="仿宋_GB2312" w:cs="仿宋_GB2312"/>
                <w:kern w:val="0"/>
                <w:sz w:val="24"/>
                <w:lang w:val="en-US" w:eastAsia="zh-CN"/>
              </w:rPr>
              <w:t>并有权要求乙方按照本合同总费用的20%向甲方支付违约金。因乙方派出服务人员违法或失职行为造成甲方或第三方损害的，乙方承担由此产生的经济责任和法律责任。</w:t>
            </w:r>
            <w:r>
              <w:rPr>
                <w:rFonts w:hint="default" w:ascii="仿宋_GB2312" w:hAnsi="仿宋_GB2312" w:eastAsia="仿宋_GB2312" w:cs="仿宋_GB2312"/>
                <w:kern w:val="0"/>
                <w:sz w:val="24"/>
                <w:lang w:val="en-US" w:eastAsia="zh-CN"/>
              </w:rPr>
              <w:t>乙方擅自将合同义务的全部或者部分转让给第三人的，甲方有权解除合同，并要求乙方承担</w:t>
            </w:r>
            <w:r>
              <w:rPr>
                <w:rFonts w:hint="eastAsia" w:ascii="仿宋_GB2312" w:hAnsi="仿宋_GB2312" w:eastAsia="仿宋_GB2312" w:cs="仿宋_GB2312"/>
                <w:kern w:val="0"/>
                <w:sz w:val="24"/>
                <w:lang w:val="en-US" w:eastAsia="zh-CN"/>
              </w:rPr>
              <w:t>合同总费用10</w:t>
            </w:r>
            <w:r>
              <w:rPr>
                <w:rFonts w:hint="default" w:ascii="仿宋_GB2312" w:hAnsi="仿宋_GB2312" w:eastAsia="仿宋_GB2312" w:cs="仿宋_GB2312"/>
                <w:kern w:val="0"/>
                <w:sz w:val="24"/>
                <w:lang w:val="en-US" w:eastAsia="zh-CN"/>
              </w:rPr>
              <w:t>%的违约金。</w:t>
            </w:r>
          </w:p>
          <w:p>
            <w:pPr>
              <w:widowControl/>
              <w:spacing w:line="240" w:lineRule="auto"/>
              <w:ind w:firstLine="0" w:firstLineChars="0"/>
              <w:jc w:val="left"/>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5.其他:合同未尽之约定，由甲乙双方另行协商解决。</w:t>
            </w:r>
          </w:p>
          <w:p>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b/>
                <w:bCs/>
                <w:kern w:val="0"/>
                <w:sz w:val="24"/>
                <w:lang w:val="en-US" w:eastAsia="zh-CN"/>
              </w:rPr>
              <w:t>备注:最终合同签订价格以我单位聘请的第三方审计价格为准。</w:t>
            </w:r>
          </w:p>
        </w:tc>
      </w:tr>
      <w:tr>
        <w:tblPrEx>
          <w:tblCellMar>
            <w:top w:w="0" w:type="dxa"/>
            <w:left w:w="108" w:type="dxa"/>
            <w:bottom w:w="0" w:type="dxa"/>
            <w:right w:w="108" w:type="dxa"/>
          </w:tblCellMar>
        </w:tblPrEx>
        <w:trPr>
          <w:trHeight w:val="1430" w:hRule="atLeast"/>
        </w:trPr>
        <w:tc>
          <w:tcPr>
            <w:tcW w:w="626"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投标人资质要求</w:t>
            </w:r>
          </w:p>
        </w:tc>
        <w:tc>
          <w:tcPr>
            <w:tcW w:w="4373"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1.投标人须是在中华人民共和国境内注册的有合法经营资格的国内独立法人或其他组织。</w:t>
            </w:r>
          </w:p>
          <w:p>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2.投</w:t>
            </w:r>
            <w:bookmarkStart w:id="0" w:name="bookmark12"/>
            <w:bookmarkEnd w:id="0"/>
            <w:r>
              <w:rPr>
                <w:rFonts w:hint="eastAsia" w:ascii="仿宋_GB2312" w:hAnsi="仿宋_GB2312" w:eastAsia="仿宋_GB2312" w:cs="仿宋_GB2312"/>
                <w:kern w:val="0"/>
                <w:sz w:val="24"/>
                <w:lang w:val="en-US" w:eastAsia="zh-CN"/>
              </w:rPr>
              <w:t>投标人须具备《营业执照》，具备相关专业资质。</w:t>
            </w:r>
          </w:p>
          <w:p>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3.近三年内（即至少从2021年11月开始起算,投标人成立不足三年的可从成立之日起算）无行贿犯罪记录。</w:t>
            </w:r>
          </w:p>
          <w:p>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4.投标人近三年无重大违法经营记录的声明和不存在处于被禁止参与政府采购活动期限内情形的声明，投标人需提供声明函并加盖公章（所提供的声明函，格式自拟）</w:t>
            </w:r>
          </w:p>
          <w:p>
            <w:pPr>
              <w:widowControl/>
              <w:spacing w:line="240" w:lineRule="auto"/>
              <w:ind w:firstLine="0" w:firstLineChars="0"/>
              <w:jc w:val="left"/>
              <w:rPr>
                <w:rFonts w:hint="default"/>
                <w:lang w:val="en-US" w:eastAsia="zh-CN"/>
              </w:rPr>
            </w:pPr>
            <w:r>
              <w:rPr>
                <w:rFonts w:hint="eastAsia" w:ascii="仿宋_GB2312" w:hAnsi="仿宋_GB2312" w:eastAsia="仿宋_GB2312" w:cs="仿宋_GB2312"/>
                <w:kern w:val="0"/>
                <w:sz w:val="24"/>
                <w:lang w:val="en-US" w:eastAsia="zh-CN"/>
              </w:rPr>
              <w:t>5.本项目不接受联合体投标，不允许分包、转包</w:t>
            </w:r>
          </w:p>
        </w:tc>
      </w:tr>
      <w:tr>
        <w:tblPrEx>
          <w:tblCellMar>
            <w:top w:w="0" w:type="dxa"/>
            <w:left w:w="108" w:type="dxa"/>
            <w:bottom w:w="0" w:type="dxa"/>
            <w:right w:w="108" w:type="dxa"/>
          </w:tblCellMar>
        </w:tblPrEx>
        <w:trPr>
          <w:trHeight w:val="1270" w:hRule="atLeast"/>
        </w:trPr>
        <w:tc>
          <w:tcPr>
            <w:tcW w:w="626"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投标人需提供资料</w:t>
            </w:r>
          </w:p>
        </w:tc>
        <w:tc>
          <w:tcPr>
            <w:tcW w:w="4373"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1.法定代表人（负责人）证明书复印件。</w:t>
            </w:r>
          </w:p>
          <w:p>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2.法人授权委托证明书原件。</w:t>
            </w:r>
          </w:p>
          <w:p>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3.法定代表人（负责人）身份证复印件。</w:t>
            </w:r>
          </w:p>
          <w:p>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4.被授权人身份证复印件</w:t>
            </w:r>
            <w:bookmarkStart w:id="1" w:name="bookmark22"/>
            <w:bookmarkEnd w:id="1"/>
            <w:r>
              <w:rPr>
                <w:rFonts w:hint="eastAsia" w:ascii="仿宋_GB2312" w:hAnsi="仿宋_GB2312" w:eastAsia="仿宋_GB2312" w:cs="仿宋_GB2312"/>
                <w:kern w:val="0"/>
                <w:sz w:val="24"/>
                <w:lang w:val="en-US" w:eastAsia="zh-CN"/>
              </w:rPr>
              <w:t>。</w:t>
            </w:r>
          </w:p>
          <w:p>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5.《营业执照》复印件。</w:t>
            </w:r>
          </w:p>
          <w:p>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6.相关专业资质复印件。</w:t>
            </w:r>
          </w:p>
          <w:p>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7.公司详细简介。</w:t>
            </w:r>
          </w:p>
          <w:p>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8.投标人基本情况介绍。</w:t>
            </w:r>
          </w:p>
          <w:p>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9.投标报价表。</w:t>
            </w:r>
          </w:p>
          <w:p>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10.对此项目的运营提供详细的服务方案。</w:t>
            </w:r>
          </w:p>
          <w:p>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11.项目相关案例、业绩。</w:t>
            </w:r>
          </w:p>
          <w:p>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12.近三年内无行贿犯罪记录、无重大违法经营记录的声明和不存在处于被禁止参与政府采购活动期限内情形的声明函（声明函格式自拟）。</w:t>
            </w:r>
          </w:p>
          <w:p>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13.可体现投标人综合实力及运营管理能力的其他资料。</w:t>
            </w:r>
          </w:p>
          <w:p>
            <w:pPr>
              <w:pStyle w:val="8"/>
              <w:ind w:left="0" w:leftChars="0" w:firstLine="0" w:firstLineChars="0"/>
              <w:rPr>
                <w:rFonts w:hint="eastAsia" w:ascii="仿宋_GB2312" w:hAnsi="仿宋_GB2312" w:eastAsia="仿宋_GB2312" w:cs="仿宋_GB2312"/>
                <w:kern w:val="0"/>
                <w:sz w:val="24"/>
              </w:rPr>
            </w:pPr>
            <w:r>
              <w:rPr>
                <w:rFonts w:hint="eastAsia" w:ascii="仿宋_GB2312" w:hAnsi="仿宋_GB2312" w:eastAsia="仿宋_GB2312" w:cs="仿宋_GB2312"/>
                <w:b/>
                <w:bCs/>
                <w:kern w:val="0"/>
                <w:sz w:val="24"/>
                <w:lang w:eastAsia="zh-CN"/>
              </w:rPr>
              <w:t>以上文件均需每页加盖单位公章并装订成册，且应将资料密封存入不透明文件袋中，贴密封条并加盖公章，否则视为无效投标</w:t>
            </w:r>
            <w:r>
              <w:rPr>
                <w:rFonts w:hint="eastAsia" w:ascii="仿宋_GB2312" w:hAnsi="仿宋_GB2312" w:eastAsia="仿宋_GB2312" w:cs="仿宋_GB2312"/>
                <w:b/>
                <w:bCs/>
                <w:kern w:val="0"/>
                <w:sz w:val="24"/>
              </w:rPr>
              <w:t>，文件</w:t>
            </w:r>
            <w:r>
              <w:rPr>
                <w:rFonts w:hint="eastAsia" w:ascii="仿宋_GB2312" w:hAnsi="仿宋_GB2312" w:eastAsia="仿宋_GB2312" w:cs="仿宋_GB2312"/>
                <w:b/>
                <w:bCs/>
                <w:kern w:val="0"/>
                <w:sz w:val="24"/>
                <w:lang w:eastAsia="zh-CN"/>
              </w:rPr>
              <w:t>袋</w:t>
            </w:r>
            <w:r>
              <w:rPr>
                <w:rFonts w:hint="eastAsia" w:ascii="仿宋_GB2312" w:hAnsi="仿宋_GB2312" w:eastAsia="仿宋_GB2312" w:cs="仿宋_GB2312"/>
                <w:b/>
                <w:bCs/>
                <w:kern w:val="0"/>
                <w:sz w:val="24"/>
              </w:rPr>
              <w:t>封面请注明</w:t>
            </w:r>
            <w:r>
              <w:rPr>
                <w:rFonts w:hint="eastAsia" w:ascii="仿宋_GB2312" w:hAnsi="仿宋_GB2312" w:eastAsia="仿宋_GB2312" w:cs="仿宋_GB2312"/>
                <w:b/>
                <w:bCs/>
                <w:kern w:val="0"/>
                <w:sz w:val="24"/>
                <w:lang w:eastAsia="zh-CN"/>
              </w:rPr>
              <w:t>投标项目名称、投标日期、</w:t>
            </w:r>
            <w:r>
              <w:rPr>
                <w:rFonts w:hint="eastAsia" w:ascii="仿宋_GB2312" w:hAnsi="仿宋_GB2312" w:eastAsia="仿宋_GB2312" w:cs="仿宋_GB2312"/>
                <w:b/>
                <w:bCs/>
                <w:kern w:val="0"/>
                <w:sz w:val="24"/>
              </w:rPr>
              <w:t>公司名称、联系人及联系电话。本项目接受邮寄递交</w:t>
            </w:r>
            <w:r>
              <w:rPr>
                <w:rFonts w:hint="eastAsia" w:ascii="仿宋_GB2312" w:hAnsi="仿宋_GB2312" w:eastAsia="仿宋_GB2312" w:cs="仿宋_GB2312"/>
                <w:b/>
                <w:bCs/>
                <w:kern w:val="0"/>
                <w:sz w:val="24"/>
                <w:lang w:eastAsia="zh-CN"/>
              </w:rPr>
              <w:t>，</w:t>
            </w:r>
            <w:r>
              <w:rPr>
                <w:rFonts w:hint="eastAsia" w:ascii="仿宋_GB2312" w:hAnsi="仿宋_GB2312" w:eastAsia="仿宋_GB2312" w:cs="仿宋_GB2312"/>
                <w:b/>
                <w:bCs/>
                <w:kern w:val="0"/>
                <w:sz w:val="24"/>
              </w:rPr>
              <w:t>递交地址及联系方式：</w:t>
            </w:r>
            <w:r>
              <w:rPr>
                <w:rFonts w:hint="eastAsia" w:ascii="仿宋_GB2312" w:hAnsi="仿宋_GB2312" w:eastAsia="仿宋_GB2312" w:cs="仿宋_GB2312"/>
                <w:b/>
                <w:bCs/>
                <w:kern w:val="0"/>
                <w:sz w:val="24"/>
                <w:lang w:eastAsia="zh-CN"/>
              </w:rPr>
              <w:t>深圳市福田区新洲南路石厦四街</w:t>
            </w:r>
            <w:r>
              <w:rPr>
                <w:rFonts w:hint="eastAsia" w:ascii="仿宋_GB2312" w:hAnsi="仿宋_GB2312" w:eastAsia="仿宋_GB2312" w:cs="仿宋_GB2312"/>
                <w:b/>
                <w:bCs/>
                <w:kern w:val="0"/>
                <w:sz w:val="24"/>
                <w:lang w:val="en-US" w:eastAsia="zh-CN"/>
              </w:rPr>
              <w:t>233号</w:t>
            </w:r>
            <w:r>
              <w:rPr>
                <w:rFonts w:hint="eastAsia" w:ascii="仿宋_GB2312" w:hAnsi="仿宋_GB2312" w:eastAsia="仿宋_GB2312" w:cs="仿宋_GB2312"/>
                <w:b/>
                <w:bCs/>
                <w:kern w:val="0"/>
                <w:sz w:val="24"/>
              </w:rPr>
              <w:t>，</w:t>
            </w:r>
            <w:r>
              <w:rPr>
                <w:rFonts w:hint="eastAsia" w:ascii="仿宋_GB2312" w:hAnsi="仿宋_GB2312" w:eastAsia="仿宋_GB2312" w:cs="仿宋_GB2312"/>
                <w:b/>
                <w:bCs/>
                <w:kern w:val="0"/>
                <w:sz w:val="24"/>
                <w:lang w:eastAsia="zh-CN"/>
              </w:rPr>
              <w:t>龚女士：</w:t>
            </w:r>
            <w:r>
              <w:rPr>
                <w:rFonts w:hint="eastAsia" w:ascii="仿宋_GB2312" w:hAnsi="仿宋_GB2312" w:eastAsia="仿宋_GB2312" w:cs="仿宋_GB2312"/>
                <w:b/>
                <w:bCs/>
                <w:kern w:val="0"/>
                <w:sz w:val="24"/>
                <w:lang w:val="en-US" w:eastAsia="zh-CN"/>
              </w:rPr>
              <w:t>0755-83836003。</w:t>
            </w:r>
          </w:p>
        </w:tc>
      </w:tr>
    </w:tbl>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p>
    <w:sectPr>
      <w:footerReference r:id="rId3" w:type="default"/>
      <w:pgSz w:w="11906" w:h="16838"/>
      <w:pgMar w:top="1361" w:right="1361" w:bottom="1361" w:left="1361"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lNTgxN2MyZjg1NDMyMmJjMmYwNmUwNzExZGI4OGMifQ=="/>
  </w:docVars>
  <w:rsids>
    <w:rsidRoot w:val="194B399D"/>
    <w:rsid w:val="007E4CA5"/>
    <w:rsid w:val="039C3694"/>
    <w:rsid w:val="03E5503B"/>
    <w:rsid w:val="053A3164"/>
    <w:rsid w:val="054D2E98"/>
    <w:rsid w:val="058F34B0"/>
    <w:rsid w:val="087921F6"/>
    <w:rsid w:val="091C13C7"/>
    <w:rsid w:val="0A4669B5"/>
    <w:rsid w:val="0C264442"/>
    <w:rsid w:val="105253A5"/>
    <w:rsid w:val="10596B94"/>
    <w:rsid w:val="10727C56"/>
    <w:rsid w:val="11312983"/>
    <w:rsid w:val="11DC3F58"/>
    <w:rsid w:val="13083D49"/>
    <w:rsid w:val="13217712"/>
    <w:rsid w:val="13421B62"/>
    <w:rsid w:val="139539BD"/>
    <w:rsid w:val="14C24AD9"/>
    <w:rsid w:val="172C00A3"/>
    <w:rsid w:val="17321EED"/>
    <w:rsid w:val="17D64F6F"/>
    <w:rsid w:val="18B761FE"/>
    <w:rsid w:val="194B399D"/>
    <w:rsid w:val="1AF3636A"/>
    <w:rsid w:val="1BA86C22"/>
    <w:rsid w:val="1C3B1844"/>
    <w:rsid w:val="1CAC31A1"/>
    <w:rsid w:val="1CD203FA"/>
    <w:rsid w:val="1D1041D7"/>
    <w:rsid w:val="1DC31AF1"/>
    <w:rsid w:val="202A5E57"/>
    <w:rsid w:val="209B6D55"/>
    <w:rsid w:val="23272B22"/>
    <w:rsid w:val="241E5CD3"/>
    <w:rsid w:val="24507E57"/>
    <w:rsid w:val="24D42836"/>
    <w:rsid w:val="251026CF"/>
    <w:rsid w:val="25EE7927"/>
    <w:rsid w:val="26B446CD"/>
    <w:rsid w:val="26C32B62"/>
    <w:rsid w:val="284B53F4"/>
    <w:rsid w:val="29471828"/>
    <w:rsid w:val="29FD45DD"/>
    <w:rsid w:val="2B77216D"/>
    <w:rsid w:val="2C057779"/>
    <w:rsid w:val="2E020414"/>
    <w:rsid w:val="2E544988"/>
    <w:rsid w:val="2FBB6ACC"/>
    <w:rsid w:val="304A7E50"/>
    <w:rsid w:val="334D7C7F"/>
    <w:rsid w:val="33C341A1"/>
    <w:rsid w:val="340E45C5"/>
    <w:rsid w:val="349E076A"/>
    <w:rsid w:val="34FD1935"/>
    <w:rsid w:val="35D74F69"/>
    <w:rsid w:val="36BD137C"/>
    <w:rsid w:val="3F1434CE"/>
    <w:rsid w:val="416451E2"/>
    <w:rsid w:val="429513FF"/>
    <w:rsid w:val="4439400C"/>
    <w:rsid w:val="447E6A90"/>
    <w:rsid w:val="4C0A69B9"/>
    <w:rsid w:val="4E144BA8"/>
    <w:rsid w:val="4E1E0521"/>
    <w:rsid w:val="4EE96D5A"/>
    <w:rsid w:val="52CD119B"/>
    <w:rsid w:val="587C663C"/>
    <w:rsid w:val="5A455061"/>
    <w:rsid w:val="5A771A36"/>
    <w:rsid w:val="5C8F69B7"/>
    <w:rsid w:val="5DD5494D"/>
    <w:rsid w:val="5EBA216A"/>
    <w:rsid w:val="60E530F9"/>
    <w:rsid w:val="618D7A19"/>
    <w:rsid w:val="61BC2EBF"/>
    <w:rsid w:val="649B6672"/>
    <w:rsid w:val="65200BA4"/>
    <w:rsid w:val="66AD6A92"/>
    <w:rsid w:val="66C374B6"/>
    <w:rsid w:val="68AD274F"/>
    <w:rsid w:val="6A1555D3"/>
    <w:rsid w:val="6A1B7B8C"/>
    <w:rsid w:val="6B981494"/>
    <w:rsid w:val="6BD3071E"/>
    <w:rsid w:val="6C7A503E"/>
    <w:rsid w:val="6F8A37EA"/>
    <w:rsid w:val="73416EE5"/>
    <w:rsid w:val="735E5F98"/>
    <w:rsid w:val="77B47451"/>
    <w:rsid w:val="78394946"/>
    <w:rsid w:val="7B672C31"/>
    <w:rsid w:val="7D8775BA"/>
    <w:rsid w:val="7DBE78A9"/>
    <w:rsid w:val="7E97605D"/>
    <w:rsid w:val="7F3467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pPr>
      <w:widowControl w:val="0"/>
      <w:autoSpaceDE w:val="0"/>
      <w:autoSpaceDN w:val="0"/>
      <w:spacing w:before="0" w:after="0" w:line="240" w:lineRule="auto"/>
      <w:ind w:left="106" w:right="0"/>
      <w:jc w:val="left"/>
    </w:pPr>
    <w:rPr>
      <w:rFonts w:ascii="仿宋_GB2312" w:hAnsi="仿宋_GB2312" w:eastAsia="仿宋_GB2312" w:cs="仿宋_GB2312"/>
      <w:sz w:val="32"/>
      <w:szCs w:val="32"/>
      <w:lang w:val="zh-CN" w:eastAsia="zh-CN" w:bidi="zh-CN"/>
    </w:rPr>
  </w:style>
  <w:style w:type="paragraph" w:styleId="3">
    <w:name w:val="Normal Indent"/>
    <w:basedOn w:val="1"/>
    <w:qFormat/>
    <w:uiPriority w:val="0"/>
    <w:pPr>
      <w:spacing w:line="560" w:lineRule="exact"/>
      <w:ind w:firstLine="420" w:firstLineChars="200"/>
    </w:pPr>
  </w:style>
  <w:style w:type="paragraph" w:styleId="4">
    <w:name w:val="Body Text Indent"/>
    <w:basedOn w:val="1"/>
    <w:next w:val="1"/>
    <w:qFormat/>
    <w:uiPriority w:val="0"/>
    <w:pPr>
      <w:spacing w:after="12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w:basedOn w:val="2"/>
    <w:next w:val="1"/>
    <w:qFormat/>
    <w:uiPriority w:val="0"/>
    <w:pPr>
      <w:spacing w:after="120"/>
      <w:ind w:firstLine="420" w:firstLineChars="100"/>
    </w:pPr>
    <w:rPr>
      <w:rFonts w:asciiTheme="minorHAnsi"/>
    </w:rPr>
  </w:style>
  <w:style w:type="paragraph" w:styleId="8">
    <w:name w:val="Body Text First Indent 2"/>
    <w:basedOn w:val="4"/>
    <w:qFormat/>
    <w:uiPriority w:val="0"/>
    <w:pPr>
      <w:ind w:firstLine="420" w:firstLineChars="200"/>
    </w:pPr>
  </w:style>
  <w:style w:type="table" w:styleId="10">
    <w:name w:val="Table Grid"/>
    <w:basedOn w:val="9"/>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otnote reference"/>
    <w:basedOn w:val="11"/>
    <w:qFormat/>
    <w:uiPriority w:val="0"/>
    <w:rPr>
      <w:vertAlign w:val="superscript"/>
    </w:rPr>
  </w:style>
  <w:style w:type="character" w:customStyle="1" w:styleId="13">
    <w:name w:val="font11"/>
    <w:basedOn w:val="11"/>
    <w:qFormat/>
    <w:uiPriority w:val="0"/>
    <w:rPr>
      <w:rFonts w:hint="eastAsia" w:ascii="仿宋_GB2312" w:eastAsia="仿宋_GB2312" w:cs="仿宋_GB2312"/>
      <w:color w:val="000000"/>
      <w:sz w:val="28"/>
      <w:szCs w:val="28"/>
      <w:u w:val="none"/>
    </w:rPr>
  </w:style>
  <w:style w:type="paragraph" w:customStyle="1" w:styleId="14">
    <w:name w:val="列出段落3"/>
    <w:basedOn w:val="1"/>
    <w:unhideWhenUsed/>
    <w:qFormat/>
    <w:uiPriority w:val="99"/>
    <w:pPr>
      <w:ind w:firstLine="420" w:firstLineChars="200"/>
    </w:pPr>
  </w:style>
  <w:style w:type="paragraph" w:customStyle="1" w:styleId="15">
    <w:name w:val="Heading #1|1"/>
    <w:basedOn w:val="1"/>
    <w:qFormat/>
    <w:uiPriority w:val="0"/>
    <w:pPr>
      <w:spacing w:after="580" w:line="590" w:lineRule="exact"/>
      <w:jc w:val="center"/>
      <w:outlineLvl w:val="0"/>
    </w:pPr>
    <w:rPr>
      <w:rFonts w:ascii="宋体" w:hAnsi="宋体" w:eastAsia="宋体" w:cs="宋体"/>
      <w:sz w:val="44"/>
      <w:szCs w:val="44"/>
      <w:lang w:val="zh-TW" w:eastAsia="zh-TW" w:bidi="zh-TW"/>
    </w:rPr>
  </w:style>
  <w:style w:type="paragraph" w:customStyle="1" w:styleId="16">
    <w:name w:val="Other|1"/>
    <w:basedOn w:val="1"/>
    <w:qFormat/>
    <w:uiPriority w:val="0"/>
    <w:rPr>
      <w:rFonts w:ascii="宋体" w:hAnsi="宋体" w:eastAsia="宋体" w:cs="宋体"/>
      <w:sz w:val="20"/>
      <w:szCs w:val="20"/>
      <w:lang w:val="zh-TW" w:eastAsia="zh-TW" w:bidi="zh-TW"/>
    </w:rPr>
  </w:style>
  <w:style w:type="paragraph" w:customStyle="1" w:styleId="17">
    <w:name w:val="Body text|1"/>
    <w:basedOn w:val="1"/>
    <w:qFormat/>
    <w:uiPriority w:val="0"/>
    <w:pPr>
      <w:spacing w:line="432" w:lineRule="auto"/>
      <w:ind w:firstLine="400"/>
    </w:pPr>
    <w:rPr>
      <w:rFonts w:ascii="宋体" w:hAnsi="宋体" w:eastAsia="宋体" w:cs="宋体"/>
      <w:sz w:val="28"/>
      <w:szCs w:val="28"/>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1860</Words>
  <Characters>1959</Characters>
  <Lines>0</Lines>
  <Paragraphs>0</Paragraphs>
  <TotalTime>13</TotalTime>
  <ScaleCrop>false</ScaleCrop>
  <LinksUpToDate>false</LinksUpToDate>
  <CharactersWithSpaces>1972</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2023-11-02T01:41:00Z</dcterms:created>
  <dc:creator>lulu</dc:creator>
  <cp:lastModifiedBy>千与千寻</cp:lastModifiedBy>
  <dcterms:modified xsi:type="dcterms:W3CDTF">2024-10-23T09:07:59Z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49ECDDE8F1CB4F19B9559EF864B4FCDE</vt:lpwstr>
  </property>
</Properties>
</file>