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t>莲花街道“关爱明天，普法先行”青少年法治宣传教育</w:t>
      </w:r>
      <w:bookmarkStart w:id="0" w:name="_GoBack"/>
      <w:bookmarkEnd w:id="0"/>
      <w:r>
        <w:rPr>
          <w:rFonts w:hint="eastAsia" w:ascii="方正小标宋简体" w:hAnsi="方正小标宋简体" w:eastAsia="方正小标宋简体" w:cs="方正小标宋简体"/>
          <w:i w:val="0"/>
          <w:iCs w:val="0"/>
          <w:caps w:val="0"/>
          <w:color w:val="000000" w:themeColor="text1"/>
          <w:spacing w:val="0"/>
          <w:kern w:val="0"/>
          <w:sz w:val="44"/>
          <w:szCs w:val="44"/>
          <w:shd w:val="clear" w:fill="FFFFFF"/>
          <w:lang w:val="en-US" w:eastAsia="zh-CN" w:bidi="ar"/>
          <w14:textFill>
            <w14:solidFill>
              <w14:schemeClr w14:val="tx1"/>
            </w14:solidFill>
          </w14:textFill>
        </w:rPr>
        <w:t>工作实施方案（征求意见稿）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为深入学习宣传贯彻习近平法治思想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认真贯彻习近平总书记有关加强未成年人法治教育的重要论述精神。全面贯彻法治宣传教育的第八个五年规划要求，着力提升本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学校学生及青少年的法治素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养</w:t>
      </w:r>
      <w:r>
        <w:rPr>
          <w:rFonts w:hint="eastAsia" w:ascii="仿宋_GB2312" w:hAnsi="仿宋_GB2312" w:eastAsia="仿宋_GB2312" w:cs="仿宋_GB2312"/>
          <w:color w:val="000000" w:themeColor="text1"/>
          <w:sz w:val="32"/>
          <w:szCs w:val="32"/>
          <w14:textFill>
            <w14:solidFill>
              <w14:schemeClr w14:val="tx1"/>
            </w14:solidFill>
          </w14:textFill>
        </w:rPr>
        <w:t>，强化其法治意识，有效预防和减少青少年违法犯罪行为，营造和谐稳定</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法治</w:t>
      </w:r>
      <w:r>
        <w:rPr>
          <w:rFonts w:hint="eastAsia" w:ascii="仿宋_GB2312" w:hAnsi="仿宋_GB2312" w:eastAsia="仿宋_GB2312" w:cs="仿宋_GB2312"/>
          <w:color w:val="000000" w:themeColor="text1"/>
          <w:sz w:val="32"/>
          <w:szCs w:val="32"/>
          <w14:textFill>
            <w14:solidFill>
              <w14:schemeClr w14:val="tx1"/>
            </w14:solidFill>
          </w14:textFill>
        </w:rPr>
        <w:t>环境，特此制定本实施方案。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一、指导思想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以习近平新时代中国特色社会主义思想为指导，全面贯彻党的二十大精神，深入学习贯彻习近平法治思想，认真实施 “八五”普法计划，全面贯彻中办、国办《关于加强新时代关心下一代工作委员会工作的意见》，以持续提升青少年法治素养为重点, 不断深化青少年法治宣传教育，培养青少年法治信仰，努力使青少年成为社会主义法治的忠实崇尚者、自觉遵守者、坚定捍卫者，为加快构建平安莲花、和谐莲花创造良好的法治环境。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r>
        <w:rPr>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二、活动时间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8"/>
          <w:rFonts w:hint="eastAsia" w:ascii="仿宋_GB2312" w:hAnsi="仿宋_GB2312" w:eastAsia="仿宋_GB2312" w:cs="仿宋_GB2312"/>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shd w:val="clear" w:color="auto" w:fill="auto"/>
          <w:lang w:val="en-US" w:eastAsia="zh-CN" w:bidi="ar-SA"/>
          <w14:textFill>
            <w14:solidFill>
              <w14:schemeClr w14:val="tx1"/>
            </w14:solidFill>
          </w14:textFill>
        </w:rPr>
        <w:t>2024年1</w:t>
      </w:r>
      <w:r>
        <w:rPr>
          <w:rFonts w:hint="default" w:ascii="仿宋_GB2312" w:hAnsi="仿宋_GB2312" w:eastAsia="仿宋_GB2312" w:cs="仿宋_GB2312"/>
          <w:b w:val="0"/>
          <w:bCs w:val="0"/>
          <w:color w:val="000000" w:themeColor="text1"/>
          <w:kern w:val="2"/>
          <w:sz w:val="32"/>
          <w:szCs w:val="32"/>
          <w:shd w:val="clear" w:color="auto" w:fill="auto"/>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shd w:val="clear" w:color="auto" w:fill="auto"/>
          <w:lang w:val="en-US" w:eastAsia="zh-CN" w:bidi="ar-SA"/>
          <w14:textFill>
            <w14:solidFill>
              <w14:schemeClr w14:val="tx1"/>
            </w14:solidFill>
          </w14:textFill>
        </w:rPr>
        <w:t>月-2025年</w:t>
      </w:r>
      <w:r>
        <w:rPr>
          <w:rStyle w:val="8"/>
          <w:rFonts w:hint="eastAsia" w:ascii="仿宋_GB2312" w:hAnsi="仿宋_GB2312" w:eastAsia="仿宋_GB2312" w:cs="仿宋_GB2312"/>
          <w:b w:val="0"/>
          <w:bCs w:val="0"/>
          <w:i w:val="0"/>
          <w:iCs w:val="0"/>
          <w:caps w:val="0"/>
          <w:color w:val="000000" w:themeColor="text1"/>
          <w:spacing w:val="0"/>
          <w:sz w:val="32"/>
          <w:szCs w:val="32"/>
          <w:shd w:val="clear" w:color="auto" w:fill="auto"/>
          <w:lang w:val="en-US" w:eastAsia="zh-CN"/>
          <w14:textFill>
            <w14:solidFill>
              <w14:schemeClr w14:val="tx1"/>
            </w14:solidFill>
          </w14:textFill>
        </w:rPr>
        <w:t>1</w:t>
      </w:r>
      <w:r>
        <w:rPr>
          <w:rStyle w:val="8"/>
          <w:rFonts w:hint="default" w:ascii="仿宋_GB2312" w:hAnsi="仿宋_GB2312" w:eastAsia="仿宋_GB2312" w:cs="仿宋_GB2312"/>
          <w:b w:val="0"/>
          <w:bCs w:val="0"/>
          <w:i w:val="0"/>
          <w:iCs w:val="0"/>
          <w:caps w:val="0"/>
          <w:color w:val="000000" w:themeColor="text1"/>
          <w:spacing w:val="0"/>
          <w:sz w:val="32"/>
          <w:szCs w:val="32"/>
          <w:shd w:val="clear" w:color="auto" w:fill="auto"/>
          <w:lang w:val="en-US" w:eastAsia="zh-CN"/>
          <w14:textFill>
            <w14:solidFill>
              <w14:schemeClr w14:val="tx1"/>
            </w14:solidFill>
          </w14:textFill>
        </w:rPr>
        <w:t>1</w:t>
      </w:r>
      <w:r>
        <w:rPr>
          <w:rStyle w:val="8"/>
          <w:rFonts w:hint="eastAsia" w:ascii="仿宋_GB2312" w:hAnsi="仿宋_GB2312" w:eastAsia="仿宋_GB2312" w:cs="仿宋_GB2312"/>
          <w:b w:val="0"/>
          <w:bCs w:val="0"/>
          <w:i w:val="0"/>
          <w:iCs w:val="0"/>
          <w:caps w:val="0"/>
          <w:color w:val="000000" w:themeColor="text1"/>
          <w:spacing w:val="0"/>
          <w:sz w:val="32"/>
          <w:szCs w:val="32"/>
          <w:shd w:val="clear" w:color="auto" w:fill="auto"/>
          <w:lang w:val="en-US" w:eastAsia="zh-CN"/>
          <w14:textFill>
            <w14:solidFill>
              <w14:schemeClr w14:val="tx1"/>
            </w14:solidFill>
          </w14:textFill>
        </w:rPr>
        <w:t>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r>
        <w:rPr>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三、参加对象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shd w:val="clear" w:color="auto" w:fill="auto"/>
          <w:lang w:val="en-US" w:eastAsia="zh-CN" w:bidi="ar-SA"/>
          <w14:textFill>
            <w14:solidFill>
              <w14:schemeClr w14:val="tx1"/>
            </w14:solidFill>
          </w14:textFill>
        </w:rPr>
        <w:t>辖区各中小学校在校学生及广大青少年。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pPr>
      <w:r>
        <w:rPr>
          <w:rFonts w:hint="eastAsia" w:ascii="黑体" w:hAnsi="黑体" w:eastAsia="黑体" w:cs="黑体"/>
          <w:color w:val="000000" w:themeColor="text1"/>
          <w:kern w:val="2"/>
          <w:sz w:val="32"/>
          <w:szCs w:val="32"/>
          <w:shd w:val="clear" w:color="auto" w:fill="auto"/>
          <w:lang w:val="en-US" w:eastAsia="zh-CN" w:bidi="ar-SA"/>
          <w14:textFill>
            <w14:solidFill>
              <w14:schemeClr w14:val="tx1"/>
            </w14:solidFill>
          </w14:textFill>
        </w:rPr>
        <w:t>四、重点内容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shd w:val="clear" w:color="auto" w:fill="auto"/>
          <w:lang w:val="en-US" w:eastAsia="zh-CN" w:bidi="ar-SA"/>
          <w14:textFill>
            <w14:solidFill>
              <w14:schemeClr w14:val="tx1"/>
            </w14:solidFill>
          </w14:textFill>
        </w:rPr>
        <w:t>（一）深入学习并广泛宣传习近平法治思想。</w:t>
      </w:r>
      <w:r>
        <w:rPr>
          <w:rFonts w:hint="eastAsia" w:ascii="仿宋_GB2312" w:hAnsi="仿宋_GB2312" w:eastAsia="仿宋_GB2312" w:cs="仿宋_GB2312"/>
          <w:color w:val="000000" w:themeColor="text1"/>
          <w:kern w:val="2"/>
          <w:sz w:val="32"/>
          <w:szCs w:val="32"/>
          <w:shd w:val="clear" w:color="auto" w:fill="auto"/>
          <w:lang w:val="en-US" w:eastAsia="zh-CN" w:bidi="ar-SA"/>
          <w14:textFill>
            <w14:solidFill>
              <w14:schemeClr w14:val="tx1"/>
            </w14:solidFill>
          </w14:textFill>
        </w:rPr>
        <w:t>引导青少年深</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刻领会习近平法治思想的深远意义，详细阐释习近平法治思想中“十一个坚持”的深邃内涵，教育并引导青少年深入理解我国社会主义法治的本质特征，准确把握全面依法治国的方向道路、目标要求、工作布局以及重要保障。明确阐述习近平法治思想的实践要求，引导青少年坚定不移地走中国特色社会主义法治道路，不断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（二）突出抓好宪法的学习宣传，提高青少年的宪法意识。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重点引导和教育青少年深入学习和宣传宪法的核心精神及其主要内容，特别是公民的基本权利与义务、尊重和保障人权等基础知识，进一步增强青少年公民责任意识与担当，教育引导广大青少年树立尊崇宪法、忠于宪法、遵守宪法、维护宪法的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（三）广泛开展民法典学习宣传教育。</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广泛开展民法典普法工作，以青少年易于理解的方式，阐释民法典的基本原则以及一系列新规定、新概念和新精神。让民法典深入青少年心中，引导其自觉守法、遇事找法、解决问题靠法，学会依法维权。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（四）重点开展与青少年学习、生活紧密相关的法律法规学习宣传。</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围绕青少年关心关注的教育、健康、文化、社会参与等方面，重点学习了解《未成年人保护法》、《预防未成年人犯罪法》、《家庭教育促进法》、《禁毒法》 等与青少年密切相关的法律法规知识，提高青少年自我约束、自我保护能力，预防和减少青少年违法犯罪行为，确保青少年能够做到尊法学法守法用法。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（五）坚持法治教育与道德教育相结合。</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加强家庭、学校、社会“三位一体”的青少年法治教育网络建设，依托家庭、社区开展青少年法治教育，营造有利于青少年健康成长的社会环境。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五、工作任务与措施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（一）用好建好普法教育阵地，充分发挥辖区阵地队伍作用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1.充分利用各类阵地，加强青少年法治教育阵地建设。</w:t>
      </w: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充</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分发挥课堂主渠道和校园主阵地作用，把法治教育融入学校教育的各个阶段；充分发挥辖区爱国主义教育基地、红色教育基地和公共文化机构等各类法治阵地的示范引领作用，积极推动校外法治教育实践基地建设，以阵地为依托，开展青少年喜闻乐见的法治文化活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2.壮大青少年法制教育队伍力量。</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广泛动员并组织辖区内的多方力量，积极参与青少年法治教育工作，同时加强法治教育讲师团和法治教育志愿者队伍的建设。充分利用街道民生律师团、学校法治副校长、社区法律顾问、“五老”人员、普法志愿者及各类青少年公益组织、社团力量，努力构建一支素质优秀、人数众多、结构合理、扎根基层且充满活力的青少年法治教育队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（二）广泛开展形式多样法治教育活动，推进辖区法治文化建设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3.广泛开展“法律进学校”活动。</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结合国家宪法日、国际禁毒日、全国消防日、全国中小学生安全教育日及学校开学仪式等重要时间节点，向青少年宣传普及法律法规，深入开展“法律进学校”活动。积极开展开学“法治第一课”、“法治文化周”、模拟法庭辩论、法治征文与漫画创作、法治主题演讲、校园法治教育情景剧等活动，加强校园法治文化建设，提升青少年法治素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themeColor="text1"/>
          <w:spacing w:val="0"/>
          <w:kern w:val="0"/>
          <w:sz w:val="32"/>
          <w:szCs w:val="32"/>
          <w:highlight w:val="yellow"/>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4.积极推进“法治家庭”创建活动。</w:t>
      </w: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家庭是青少年成长的摇篮和法治教育的重要场所。积极组织和引导学校、社区推进“法治家庭”创建活动，通过举办家庭法治讲座、制定家长法治教育手册、开展家庭、家教和家风的建设、家庭法治实践等活动，提高家长法治教育能力和素养，营造和谐的家庭法治氛围。充分发挥“大手拉小手”作用，让法治成为家庭生活方式，为青少年健康成长提供坚实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5.抓好重点青少年法治宣传教育。</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充分发挥社区“两委”干部、“法律明白人”等关键角色的作用，针对社会不良行为青少年、未成年社区矫正对象等重点群体，开展具有针对性的法治教育、管理和服务工作。及时掌握未成年人违法犯罪的动态，协助问题青少年明确法律底线和行为边界，引导其学会尊法守法，预防和减少青少年的再次违法犯罪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6.深化青少年法治实践，推动青少年法治实践活动常态化。</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充分整合辖区法院、检察院、律师事务所等法律服务资源，开展青少年模拟法庭、情景剧表演、观看庭审直播等法治实践活动，推动青少年近距离感受法律的尊严和权威，在体验中增强法治观念。组织辖区学校开展“法治小使者”选拔活动，鼓励青少年参与志愿普法活动。利用课余时间、寒暑假期，深入社区、学校、家庭，用生动的案例、通俗的语言，向身边人普及法律知识，传递法治精神。</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7.创新法治教育渠道和方法，开展精准法治教育。</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充分利用大数据、人工智能等新媒体技术与平台，通过线上普法课堂、有奖答题等多种形式，开展法治宣传教育；加强短视频等新媒体应用，利用青少年喜闻乐见的社交媒体，生动阐释法律知识，促进全面传播；有效整合教育部全国青少年普法网等线上法治教育资源，满足不同青少年群体个性化的法治学习需求，实现精准普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六、工作实施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准备阶段:202</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年</w:t>
      </w:r>
      <w:r>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至</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楷体_GB2312" w:hAnsi="楷体_GB2312" w:eastAsia="楷体_GB2312" w:cs="楷体_GB2312"/>
          <w:i w:val="0"/>
          <w:iCs w:val="0"/>
          <w:caps w:val="0"/>
          <w:color w:val="000000" w:themeColor="text1"/>
          <w:spacing w:val="0"/>
          <w:sz w:val="32"/>
          <w:szCs w:val="32"/>
          <w:shd w:val="clear" w:fill="FFFFFF"/>
          <w14:textFill>
            <w14:solidFill>
              <w14:schemeClr w14:val="tx1"/>
            </w14:solidFill>
          </w14:textFill>
        </w:rPr>
        <w:t>月</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深入学习习近平总书记有关加强未成年人法治教育的重要论述精神,学习习近平法治思想和有关</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文件</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部署，成立活动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领导小组，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分析当前青少年法治宣传教育形势，制定活动实施方案。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）实施阶段:202</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年</w:t>
      </w:r>
      <w:r>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11</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月至 2025年</w:t>
      </w:r>
      <w:r>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全面启动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莲花街道“关爱明天，普法先行”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青少年法治宣传教育活动。按照本活动实施意见的部署，结合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辖区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实际</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工作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情况，深入扎实开展青少年法治宣传教育活动。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）总结阶段:2025年</w:t>
      </w:r>
      <w:r>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11</w:t>
      </w:r>
      <w:r>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对活动开展情况进行评估、总结，对成效突出的单位和个人进行表彰，并择优向上级推荐先进集体和个人。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七、工作要求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DFDFE"/>
          <w14:textFill>
            <w14:solidFill>
              <w14:schemeClr w14:val="tx1"/>
            </w14:solidFill>
          </w14:textFill>
        </w:rPr>
        <w:t>（一）加强组织领导</w:t>
      </w:r>
      <w:r>
        <w:rPr>
          <w:rFonts w:hint="eastAsia" w:ascii="楷体_GB2312" w:hAnsi="楷体_GB2312" w:eastAsia="楷体_GB2312" w:cs="楷体_GB2312"/>
          <w:i w:val="0"/>
          <w:iCs w:val="0"/>
          <w:caps w:val="0"/>
          <w:color w:val="000000" w:themeColor="text1"/>
          <w:spacing w:val="0"/>
          <w:sz w:val="32"/>
          <w:szCs w:val="32"/>
          <w:shd w:val="clear" w:fill="FDFDFE"/>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DFDFE"/>
          <w:lang w:val="en-US" w:eastAsia="zh-CN"/>
          <w14:textFill>
            <w14:solidFill>
              <w14:schemeClr w14:val="tx1"/>
            </w14:solidFill>
          </w14:textFill>
        </w:rPr>
        <w:t>形成工作合力</w:t>
      </w:r>
      <w:r>
        <w:rPr>
          <w:rFonts w:hint="eastAsia" w:ascii="楷体_GB2312" w:hAnsi="楷体_GB2312" w:eastAsia="楷体_GB2312" w:cs="楷体_GB2312"/>
          <w:i w:val="0"/>
          <w:iCs w:val="0"/>
          <w:caps w:val="0"/>
          <w:color w:val="000000" w:themeColor="text1"/>
          <w:spacing w:val="0"/>
          <w:sz w:val="32"/>
          <w:szCs w:val="32"/>
          <w:shd w:val="clear" w:fill="FDFDFE"/>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充分发挥基层党组织在青少年法治宣传教育中的战斗堡垒作用，汇聚各方资源，推动青少年法治宣传教育抓实见效。</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加强与教育、公安、法院等相关部门、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组织间的协同合作</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的密切配合，</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促进青少年法治宣传教育与相关领域工作融合发展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形成青少年法治宣传教育</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工作</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强大合力</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DFDFE"/>
          <w14:textFill>
            <w14:solidFill>
              <w14:schemeClr w14:val="tx1"/>
            </w14:solidFill>
          </w14:textFill>
        </w:rPr>
        <w:t>（二）注重实效创新</w:t>
      </w:r>
      <w:r>
        <w:rPr>
          <w:rFonts w:hint="eastAsia" w:ascii="楷体_GB2312" w:hAnsi="楷体_GB2312" w:eastAsia="楷体_GB2312" w:cs="楷体_GB2312"/>
          <w:i w:val="0"/>
          <w:iCs w:val="0"/>
          <w:caps w:val="0"/>
          <w:color w:val="000000" w:themeColor="text1"/>
          <w:spacing w:val="0"/>
          <w:sz w:val="32"/>
          <w:szCs w:val="32"/>
          <w:shd w:val="clear" w:fill="FDFDFE"/>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sz w:val="32"/>
          <w:szCs w:val="32"/>
          <w:shd w:val="clear" w:fill="FDFDFE"/>
          <w:lang w:val="en-US" w:eastAsia="zh-CN"/>
          <w14:textFill>
            <w14:solidFill>
              <w14:schemeClr w14:val="tx1"/>
            </w14:solidFill>
          </w14:textFill>
        </w:rPr>
        <w:t>突出效果导向</w:t>
      </w:r>
      <w:r>
        <w:rPr>
          <w:rFonts w:hint="eastAsia" w:ascii="楷体_GB2312" w:hAnsi="楷体_GB2312" w:eastAsia="楷体_GB2312" w:cs="楷体_GB2312"/>
          <w:i w:val="0"/>
          <w:iCs w:val="0"/>
          <w:caps w:val="0"/>
          <w:color w:val="000000" w:themeColor="text1"/>
          <w:spacing w:val="0"/>
          <w:sz w:val="32"/>
          <w:szCs w:val="32"/>
          <w:shd w:val="clear" w:fill="FDFDFE"/>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要结合青少年身心特点和认知规律，创新法治宣传教育形式和内容，注重活动的趣味性和实效性，增强青少年受众的参与感、体验感、获得感</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确保活动取得良好效果。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DFDFE"/>
          <w:lang w:val="en-US" w:eastAsia="zh-CN" w:bidi="ar"/>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32"/>
          <w:szCs w:val="32"/>
          <w:shd w:val="clear" w:fill="FDFDFE"/>
          <w:lang w:val="en-US" w:eastAsia="zh-CN" w:bidi="ar"/>
          <w14:textFill>
            <w14:solidFill>
              <w14:schemeClr w14:val="tx1"/>
            </w14:solidFill>
          </w14:textFill>
        </w:rPr>
        <w:t>（三）充分发挥“五老”作用。</w:t>
      </w: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充分发挥辖区“五老”特别是老公安、老检察官、老法官等政法战线退休老同志在青少年法治宣传教育的重要作用，积极组织“五老”人员参与青少年法治宣传教育工作，进一步优化</w:t>
      </w:r>
      <w:r>
        <w:rPr>
          <w:rFonts w:hint="eastAsia" w:ascii="仿宋_GB2312" w:hAnsi="仿宋_GB2312" w:eastAsia="仿宋_GB2312" w:cs="仿宋_GB2312"/>
          <w:i w:val="0"/>
          <w:iCs w:val="0"/>
          <w:caps w:val="0"/>
          <w:color w:val="000000" w:themeColor="text1"/>
          <w:spacing w:val="0"/>
          <w:kern w:val="0"/>
          <w:sz w:val="32"/>
          <w:szCs w:val="32"/>
          <w:shd w:val="clear" w:fill="FDFDFE"/>
          <w:lang w:val="en-US" w:eastAsia="zh-CN" w:bidi="ar"/>
          <w14:textFill>
            <w14:solidFill>
              <w14:schemeClr w14:val="tx1"/>
            </w14:solidFill>
          </w14:textFill>
        </w:rPr>
        <w:t>青少年成长环境。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i w:val="0"/>
          <w:iCs w:val="0"/>
          <w:caps w:val="0"/>
          <w:color w:val="000000" w:themeColor="text1"/>
          <w:spacing w:val="0"/>
          <w:kern w:val="0"/>
          <w:sz w:val="32"/>
          <w:szCs w:val="32"/>
          <w:shd w:val="clear" w:fill="FDFDFE"/>
          <w:lang w:val="en-US" w:eastAsia="zh-CN" w:bidi="ar"/>
          <w14:textFill>
            <w14:solidFill>
              <w14:schemeClr w14:val="tx1"/>
            </w14:solidFill>
          </w14:textFill>
        </w:rPr>
        <w:t>（四）强化宣传引导，注重总结评估。</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充分利用各</w:t>
      </w:r>
      <w:r>
        <w:rPr>
          <w:rFonts w:hint="eastAsia" w:ascii="仿宋_GB2312" w:hAnsi="仿宋_GB2312" w:eastAsia="仿宋_GB2312" w:cs="仿宋_GB2312"/>
          <w:i w:val="0"/>
          <w:iCs w:val="0"/>
          <w:caps w:val="0"/>
          <w:color w:val="000000" w:themeColor="text1"/>
          <w:spacing w:val="0"/>
          <w:sz w:val="32"/>
          <w:szCs w:val="32"/>
          <w:shd w:val="clear" w:fill="FDFDFE"/>
          <w:lang w:val="en-US" w:eastAsia="zh-CN"/>
          <w14:textFill>
            <w14:solidFill>
              <w14:schemeClr w14:val="tx1"/>
            </w14:solidFill>
          </w14:textFill>
        </w:rPr>
        <w:t>类媒介</w:t>
      </w:r>
      <w:r>
        <w:rPr>
          <w:rFonts w:hint="eastAsia" w:ascii="仿宋_GB2312" w:hAnsi="仿宋_GB2312" w:eastAsia="仿宋_GB2312" w:cs="仿宋_GB2312"/>
          <w:i w:val="0"/>
          <w:iCs w:val="0"/>
          <w:caps w:val="0"/>
          <w:color w:val="000000" w:themeColor="text1"/>
          <w:spacing w:val="0"/>
          <w:sz w:val="32"/>
          <w:szCs w:val="32"/>
          <w:shd w:val="clear" w:fill="FDFDFE"/>
          <w14:textFill>
            <w14:solidFill>
              <w14:schemeClr w14:val="tx1"/>
            </w14:solidFill>
          </w14:textFill>
        </w:rPr>
        <w:t>，加大活动宣传力度，提高活动的知晓率和参与度。同时，注重挖掘和宣传活动中的典型事迹和先进经验，总结经验教训</w:t>
      </w:r>
      <w:r>
        <w:rPr>
          <w:rFonts w:hint="eastAsia" w:ascii="仿宋_GB2312" w:hAnsi="仿宋_GB2312" w:eastAsia="仿宋_GB2312" w:cs="仿宋_GB2312"/>
          <w:i w:val="0"/>
          <w:iCs w:val="0"/>
          <w:caps w:val="0"/>
          <w:color w:val="000000" w:themeColor="text1"/>
          <w:spacing w:val="0"/>
          <w:sz w:val="32"/>
          <w:szCs w:val="32"/>
          <w:shd w:val="clear" w:fill="FDFDFE"/>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促进青少年法治宣传教育活动更加卓有成效地开展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ZWY2Njg2Mzc1OGNkZDMzNWRlMWYxYTAwYTAzNjEifQ=="/>
  </w:docVars>
  <w:rsids>
    <w:rsidRoot w:val="203E6659"/>
    <w:rsid w:val="09575490"/>
    <w:rsid w:val="0D732BFC"/>
    <w:rsid w:val="0DCA5296"/>
    <w:rsid w:val="112A0531"/>
    <w:rsid w:val="203E6659"/>
    <w:rsid w:val="2F0D6701"/>
    <w:rsid w:val="32FD7ECF"/>
    <w:rsid w:val="350E43EB"/>
    <w:rsid w:val="35166C5E"/>
    <w:rsid w:val="4B2D5687"/>
    <w:rsid w:val="553F1EA8"/>
    <w:rsid w:val="62012D11"/>
    <w:rsid w:val="628F657E"/>
    <w:rsid w:val="68CD7140"/>
    <w:rsid w:val="6DD85044"/>
    <w:rsid w:val="6F4420D9"/>
    <w:rsid w:val="7E5E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3040</Words>
  <Characters>3073</Characters>
  <Lines>0</Lines>
  <Paragraphs>0</Paragraphs>
  <TotalTime>12</TotalTime>
  <ScaleCrop>false</ScaleCrop>
  <LinksUpToDate>false</LinksUpToDate>
  <CharactersWithSpaces>3077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2024-08-02T10:19:00Z</dcterms:created>
  <dc:creator>xxxxxsophia</dc:creator>
  <cp:lastModifiedBy>xxxxxsophia</cp:lastModifiedBy>
  <dcterms:modified xsi:type="dcterms:W3CDTF">2024-10-09T06:51:13Z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52162D2EFA434B16ACCB0BD93CF3CB95_13</vt:lpwstr>
  </property>
</Properties>
</file>