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附件1</w:t>
      </w:r>
    </w:p>
    <w:p>
      <w:pPr>
        <w:widowControl/>
        <w:spacing w:line="400" w:lineRule="exact"/>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ind w:firstLine="420" w:firstLineChars="200"/>
      </w:pPr>
    </w:p>
    <w:tbl>
      <w:tblPr>
        <w:tblStyle w:val="6"/>
        <w:tblW w:w="5000" w:type="pct"/>
        <w:tblInd w:w="0" w:type="dxa"/>
        <w:tblLayout w:type="fixed"/>
        <w:tblCellMar>
          <w:top w:w="0" w:type="dxa"/>
          <w:left w:w="108" w:type="dxa"/>
          <w:bottom w:w="0" w:type="dxa"/>
          <w:right w:w="108" w:type="dxa"/>
        </w:tblCellMar>
      </w:tblPr>
      <w:tblGrid>
        <w:gridCol w:w="836"/>
        <w:gridCol w:w="3085"/>
        <w:gridCol w:w="1587"/>
        <w:gridCol w:w="2151"/>
        <w:gridCol w:w="1741"/>
      </w:tblGrid>
      <w:tr>
        <w:tblPrEx>
          <w:tblCellMar>
            <w:top w:w="0" w:type="dxa"/>
            <w:left w:w="108" w:type="dxa"/>
            <w:bottom w:w="0" w:type="dxa"/>
            <w:right w:w="108" w:type="dxa"/>
          </w:tblCellMar>
        </w:tblPrEx>
        <w:trPr>
          <w:trHeight w:val="847" w:hRule="exact"/>
        </w:trPr>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48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福保街道“童乐福田计划”—明月社区信托花园6个小区增设游乐设施项目　</w:t>
            </w:r>
          </w:p>
        </w:tc>
        <w:tc>
          <w:tcPr>
            <w:tcW w:w="114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926"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kern w:val="0"/>
                <w:sz w:val="24"/>
              </w:rPr>
            </w:pPr>
            <w:bookmarkStart w:id="0" w:name="_GoBack"/>
            <w:bookmarkEnd w:id="0"/>
            <w:r>
              <w:rPr>
                <w:rFonts w:hint="eastAsia" w:ascii="仿宋_GB2312" w:hAnsi="仿宋_GB2312" w:eastAsia="仿宋_GB2312" w:cs="仿宋_GB2312"/>
                <w:kern w:val="0"/>
                <w:sz w:val="24"/>
              </w:rPr>
              <w:t xml:space="preserve"> 488682元</w:t>
            </w:r>
          </w:p>
        </w:tc>
      </w:tr>
      <w:tr>
        <w:tblPrEx>
          <w:tblCellMar>
            <w:top w:w="0" w:type="dxa"/>
            <w:left w:w="108" w:type="dxa"/>
            <w:bottom w:w="0" w:type="dxa"/>
            <w:right w:w="108" w:type="dxa"/>
          </w:tblCellMar>
        </w:tblPrEx>
        <w:trPr>
          <w:trHeight w:val="567" w:hRule="exact"/>
        </w:trPr>
        <w:tc>
          <w:tcPr>
            <w:tcW w:w="44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48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明月社区　</w:t>
            </w:r>
          </w:p>
        </w:tc>
        <w:tc>
          <w:tcPr>
            <w:tcW w:w="114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926"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黄晓香</w:t>
            </w:r>
          </w:p>
        </w:tc>
      </w:tr>
      <w:tr>
        <w:tblPrEx>
          <w:tblCellMar>
            <w:top w:w="0" w:type="dxa"/>
            <w:left w:w="108" w:type="dxa"/>
            <w:bottom w:w="0" w:type="dxa"/>
            <w:right w:w="108" w:type="dxa"/>
          </w:tblCellMar>
        </w:tblPrEx>
        <w:trPr>
          <w:trHeight w:val="24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64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844" w:type="pct"/>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p>
          <w:p>
            <w:pPr>
              <w:widowControl/>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□询价     ☑比价谈判</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p>
        </w:tc>
      </w:tr>
      <w:tr>
        <w:tblPrEx>
          <w:tblCellMar>
            <w:top w:w="0" w:type="dxa"/>
            <w:left w:w="108" w:type="dxa"/>
            <w:bottom w:w="0" w:type="dxa"/>
            <w:right w:w="108" w:type="dxa"/>
          </w:tblCellMar>
        </w:tblPrEx>
        <w:trPr>
          <w:trHeight w:val="2422"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555" w:type="pct"/>
            <w:gridSpan w:val="4"/>
            <w:tcBorders>
              <w:top w:val="single" w:color="auto" w:sz="4" w:space="0"/>
              <w:left w:val="nil"/>
              <w:bottom w:val="single" w:color="auto" w:sz="4" w:space="0"/>
              <w:right w:val="single" w:color="auto" w:sz="4" w:space="0"/>
            </w:tcBorders>
          </w:tcPr>
          <w:p>
            <w:pPr>
              <w:widowControl/>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为深入推进“百千万工程”，贯彻落实国务院办公厅近日转发国家发展改革委《城市社区嵌入式服务设施建设工程实施方案》要求，结合《童乐福田计划实施方案》，通过在明月社区信托花园等6个小区合理利用小区架空层和空地、绿化带等区域，便捷增置全新的亲子游乐设施。在不破坏现有地面、避免大兴土木的原则下，采用非破土动工的方式，能在尽量减少对社区居民日常生活的干扰的同时，使场地空间利用率将达到最大化。以持续提高社区亲子游乐设施和活动空间供给，切实从民生“小切口”解决群众“心头事”，助力“百千万工程”街社高质量发展。</w:t>
            </w:r>
          </w:p>
        </w:tc>
      </w:tr>
      <w:tr>
        <w:tblPrEx>
          <w:tblCellMar>
            <w:top w:w="0" w:type="dxa"/>
            <w:left w:w="108" w:type="dxa"/>
            <w:bottom w:w="0" w:type="dxa"/>
            <w:right w:w="108" w:type="dxa"/>
          </w:tblCellMar>
        </w:tblPrEx>
        <w:trPr>
          <w:trHeight w:val="712" w:hRule="atLeast"/>
        </w:trPr>
        <w:tc>
          <w:tcPr>
            <w:tcW w:w="44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项目需求</w:t>
            </w:r>
          </w:p>
        </w:tc>
        <w:tc>
          <w:tcPr>
            <w:tcW w:w="4555" w:type="pct"/>
            <w:gridSpan w:val="4"/>
            <w:tcBorders>
              <w:top w:val="single" w:color="auto" w:sz="4" w:space="0"/>
              <w:left w:val="nil"/>
              <w:bottom w:val="single" w:color="auto" w:sz="4" w:space="0"/>
              <w:right w:val="single" w:color="auto" w:sz="4" w:space="0"/>
            </w:tcBorders>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详见项目需求清单（附件一）</w:t>
            </w:r>
          </w:p>
        </w:tc>
      </w:tr>
      <w:tr>
        <w:tblPrEx>
          <w:tblCellMar>
            <w:top w:w="0" w:type="dxa"/>
            <w:left w:w="108" w:type="dxa"/>
            <w:bottom w:w="0" w:type="dxa"/>
            <w:right w:w="108" w:type="dxa"/>
          </w:tblCellMar>
        </w:tblPrEx>
        <w:trPr>
          <w:trHeight w:val="3437" w:hRule="atLeast"/>
        </w:trPr>
        <w:tc>
          <w:tcPr>
            <w:tcW w:w="44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4555" w:type="pct"/>
            <w:gridSpan w:val="4"/>
            <w:tcBorders>
              <w:top w:val="single" w:color="auto" w:sz="4" w:space="0"/>
              <w:left w:val="nil"/>
              <w:bottom w:val="single" w:color="auto" w:sz="4" w:space="0"/>
              <w:right w:val="single" w:color="auto" w:sz="4" w:space="0"/>
            </w:tcBorders>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服务期限：</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2024年9月-</w:t>
            </w:r>
            <w:r>
              <w:rPr>
                <w:rFonts w:hint="eastAsia" w:ascii="仿宋_GB2312" w:hAnsi="仿宋_GB2312" w:eastAsia="仿宋_GB2312" w:cs="仿宋_GB2312"/>
                <w:kern w:val="0"/>
                <w:sz w:val="24"/>
                <w:lang w:val="en-US" w:eastAsia="zh-CN"/>
              </w:rPr>
              <w:t>2024年</w:t>
            </w:r>
            <w:r>
              <w:rPr>
                <w:rFonts w:hint="eastAsia" w:ascii="仿宋_GB2312" w:hAnsi="仿宋_GB2312" w:eastAsia="仿宋_GB2312" w:cs="仿宋_GB2312"/>
                <w:kern w:val="0"/>
                <w:sz w:val="24"/>
              </w:rPr>
              <w:t>11月</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一次性付款：项目验收合格后，中标供应商提供符合规定的发票后，街道办一次性支付合同总额100%。）</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3.报价要求：48</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8682</w:t>
            </w:r>
            <w:r>
              <w:rPr>
                <w:rFonts w:hint="eastAsia" w:ascii="仿宋_GB2312" w:hAnsi="仿宋_GB2312" w:eastAsia="仿宋_GB2312" w:cs="仿宋_GB2312"/>
                <w:kern w:val="0"/>
                <w:sz w:val="24"/>
                <w:lang w:eastAsia="zh-CN"/>
              </w:rPr>
              <w:t>万元</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4.违约责任：1）委托管理期间，所有委托管理项目如因未执行国家相关政策法规、或因管理不善、服务不规范等原因引发事故、纠纷，或受到主管部门的处罚，由中标单位承担责任。</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2）在合同执行期间，中标单位须接受市、区行业主管部门的监管。合同终止时，中标单位应将各项目条款的工作记录、设施管理使用及检测记录等移交给采购人。</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3）如因中标单位原因，造成不能完成规定管理目标或直接造成采购人经济损失的，中标单位应给予采购人相应补偿。采购人有权要求中标单位限期整改，并有权终止合同。</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4）因中标单位管理不善或操作不当等原因对房屋建筑或设施设备等造成重大损害或发生重大事故的，由中标单位承担责任并负责善后处理（产生事故的直接原因，以政府有关部门的鉴定结论为准）。</w:t>
            </w:r>
          </w:p>
        </w:tc>
      </w:tr>
      <w:tr>
        <w:tblPrEx>
          <w:tblCellMar>
            <w:top w:w="0" w:type="dxa"/>
            <w:left w:w="108" w:type="dxa"/>
            <w:bottom w:w="0" w:type="dxa"/>
            <w:right w:w="108" w:type="dxa"/>
          </w:tblCellMar>
        </w:tblPrEx>
        <w:trPr>
          <w:trHeight w:val="2996" w:hRule="atLeast"/>
        </w:trPr>
        <w:tc>
          <w:tcPr>
            <w:tcW w:w="44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555" w:type="pct"/>
            <w:gridSpan w:val="4"/>
            <w:tcBorders>
              <w:top w:val="single" w:color="auto" w:sz="4" w:space="0"/>
              <w:left w:val="nil"/>
              <w:bottom w:val="single" w:color="auto" w:sz="4" w:space="0"/>
              <w:right w:val="single" w:color="auto" w:sz="4" w:space="0"/>
            </w:tcBorders>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w:t>
            </w:r>
            <w:r>
              <w:rPr>
                <w:rFonts w:hint="eastAsia" w:ascii="仿宋_GB2312" w:hAnsi="仿宋_GB2312" w:eastAsia="仿宋_GB2312" w:cs="仿宋_GB2312"/>
                <w:b w:val="0"/>
                <w:bCs w:val="0"/>
                <w:kern w:val="0"/>
                <w:sz w:val="24"/>
              </w:rPr>
              <w:t>记录</w:t>
            </w:r>
            <w:r>
              <w:rPr>
                <w:rFonts w:hint="eastAsia" w:ascii="仿宋_GB2312" w:hAnsi="仿宋_GB2312" w:eastAsia="仿宋_GB2312" w:cs="仿宋_GB2312"/>
                <w:kern w:val="0"/>
                <w:sz w:val="24"/>
              </w:rPr>
              <w:t>名单。</w:t>
            </w:r>
            <w:r>
              <w:rPr>
                <w:rFonts w:hint="eastAsia" w:ascii="仿宋_GB2312" w:hAnsi="仿宋_GB2312" w:eastAsia="仿宋_GB2312" w:cs="仿宋_GB2312"/>
                <w:kern w:val="0"/>
                <w:sz w:val="24"/>
                <w:lang w:val="en-US" w:eastAsia="zh-CN"/>
              </w:rPr>
              <w:t xml:space="preserve"> </w:t>
            </w:r>
          </w:p>
        </w:tc>
      </w:tr>
      <w:tr>
        <w:tblPrEx>
          <w:tblCellMar>
            <w:top w:w="0" w:type="dxa"/>
            <w:left w:w="108" w:type="dxa"/>
            <w:bottom w:w="0" w:type="dxa"/>
            <w:right w:w="108" w:type="dxa"/>
          </w:tblCellMar>
        </w:tblPrEx>
        <w:trPr>
          <w:trHeight w:val="1270" w:hRule="atLeast"/>
        </w:trPr>
        <w:tc>
          <w:tcPr>
            <w:tcW w:w="44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555" w:type="pct"/>
            <w:gridSpan w:val="4"/>
            <w:tcBorders>
              <w:top w:val="single" w:color="auto" w:sz="4" w:space="0"/>
              <w:left w:val="nil"/>
              <w:bottom w:val="single" w:color="auto" w:sz="4" w:space="0"/>
              <w:right w:val="single" w:color="auto" w:sz="4" w:space="0"/>
            </w:tcBorders>
          </w:tcPr>
          <w:p>
            <w:pPr>
              <w:pStyle w:val="15"/>
              <w:widowControl/>
              <w:numPr>
                <w:ilvl w:val="0"/>
                <w:numId w:val="1"/>
              </w:numPr>
              <w:ind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营业执照</w:t>
            </w:r>
            <w:r>
              <w:rPr>
                <w:rFonts w:hint="eastAsia" w:ascii="仿宋" w:hAnsi="仿宋" w:eastAsia="仿宋" w:cs="仿宋_GB2312"/>
                <w:kern w:val="0"/>
                <w:sz w:val="24"/>
              </w:rPr>
              <w:t>、法人证明文件及授权委托书</w:t>
            </w:r>
            <w:r>
              <w:rPr>
                <w:rFonts w:hint="eastAsia" w:ascii="仿宋_GB2312" w:hAnsi="仿宋_GB2312" w:eastAsia="仿宋_GB2312" w:cs="仿宋_GB2312"/>
                <w:kern w:val="0"/>
                <w:sz w:val="24"/>
              </w:rPr>
              <w:t>等相关资质复印件。</w:t>
            </w:r>
          </w:p>
          <w:p>
            <w:pPr>
              <w:pStyle w:val="15"/>
              <w:widowControl/>
              <w:numPr>
                <w:ilvl w:val="0"/>
                <w:numId w:val="1"/>
              </w:numPr>
              <w:ind w:firstLineChars="0"/>
              <w:jc w:val="left"/>
              <w:rPr>
                <w:rFonts w:hint="eastAsia"/>
              </w:rPr>
            </w:pPr>
            <w:r>
              <w:rPr>
                <w:rFonts w:hint="eastAsia" w:ascii="仿宋_GB2312" w:hAnsi="仿宋_GB2312" w:eastAsia="仿宋_GB2312" w:cs="仿宋_GB2312"/>
                <w:kern w:val="0"/>
                <w:sz w:val="24"/>
              </w:rPr>
              <w:t>投标报价。</w:t>
            </w:r>
          </w:p>
          <w:p>
            <w:pPr>
              <w:widowControl/>
              <w:jc w:val="left"/>
              <w:rPr>
                <w:rFonts w:ascii="仿宋_GB2312" w:hAnsi="仿宋_GB2312" w:eastAsia="仿宋_GB2312" w:cs="仿宋_GB2312"/>
                <w:kern w:val="0"/>
                <w:sz w:val="24"/>
              </w:rPr>
            </w:pPr>
            <w:r>
              <w:rPr>
                <w:rFonts w:ascii="仿宋_GB2312" w:hAnsi="仿宋_GB2312" w:eastAsia="仿宋_GB2312" w:cs="仿宋_GB2312"/>
                <w:kern w:val="0"/>
                <w:sz w:val="24"/>
              </w:rPr>
              <w:t xml:space="preserve">3. </w:t>
            </w:r>
            <w:r>
              <w:rPr>
                <w:rFonts w:hint="eastAsia" w:ascii="仿宋_GB2312" w:hAnsi="仿宋_GB2312" w:eastAsia="仿宋_GB2312" w:cs="仿宋_GB2312"/>
                <w:kern w:val="0"/>
                <w:sz w:val="24"/>
              </w:rPr>
              <w:t>项目施工方案。</w:t>
            </w:r>
          </w:p>
          <w:p>
            <w:pPr>
              <w:widowControl/>
              <w:jc w:val="left"/>
              <w:rPr>
                <w:rFonts w:ascii="仿宋" w:hAnsi="仿宋" w:eastAsia="仿宋" w:cs="仿宋_GB2312"/>
                <w:kern w:val="0"/>
                <w:sz w:val="24"/>
              </w:rPr>
            </w:pPr>
            <w:r>
              <w:rPr>
                <w:rFonts w:ascii="仿宋_GB2312" w:hAnsi="仿宋_GB2312" w:eastAsia="仿宋_GB2312" w:cs="仿宋_GB2312"/>
                <w:kern w:val="0"/>
                <w:sz w:val="24"/>
              </w:rPr>
              <w:t xml:space="preserve">4. </w:t>
            </w:r>
            <w:r>
              <w:rPr>
                <w:rFonts w:hint="eastAsia" w:ascii="仿宋_GB2312" w:hAnsi="仿宋_GB2312" w:eastAsia="仿宋_GB2312" w:cs="仿宋_GB2312"/>
                <w:kern w:val="0"/>
                <w:sz w:val="24"/>
              </w:rPr>
              <w:t>公司详细介绍。</w:t>
            </w:r>
          </w:p>
        </w:tc>
      </w:tr>
    </w:tbl>
    <w:p>
      <w:pPr>
        <w:spacing w:line="560" w:lineRule="exact"/>
        <w:jc w:val="left"/>
        <w:rPr>
          <w:rFonts w:hint="eastAsia" w:ascii="黑体" w:hAnsi="黑体" w:eastAsia="黑体" w:cs="黑体"/>
          <w:sz w:val="32"/>
          <w:szCs w:val="32"/>
        </w:rPr>
      </w:pPr>
    </w:p>
    <w:sectPr>
      <w:footerReference r:id="rId3" w:type="default"/>
      <w:pgSz w:w="11906" w:h="16838"/>
      <w:pgMar w:top="1361" w:right="1361" w:bottom="1361"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04A76"/>
    <w:multiLevelType w:val="multilevel"/>
    <w:tmpl w:val="06B04A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lZTVjZmY1YTU2ZTU2NjBjNTE0MjY1ZGIyOTBhOTQifQ=="/>
  </w:docVars>
  <w:rsids>
    <w:rsidRoot w:val="194B399D"/>
    <w:rsid w:val="00005513"/>
    <w:rsid w:val="00050C62"/>
    <w:rsid w:val="00052407"/>
    <w:rsid w:val="000E1C4B"/>
    <w:rsid w:val="00120325"/>
    <w:rsid w:val="001A78F4"/>
    <w:rsid w:val="0021484A"/>
    <w:rsid w:val="00274C6A"/>
    <w:rsid w:val="003269C5"/>
    <w:rsid w:val="00334F33"/>
    <w:rsid w:val="00825AC9"/>
    <w:rsid w:val="008C30C7"/>
    <w:rsid w:val="009A7E5D"/>
    <w:rsid w:val="00AF1F1C"/>
    <w:rsid w:val="00B07F3A"/>
    <w:rsid w:val="00CF4CF6"/>
    <w:rsid w:val="00D60D3D"/>
    <w:rsid w:val="00DF7C56"/>
    <w:rsid w:val="00E93143"/>
    <w:rsid w:val="00F429C4"/>
    <w:rsid w:val="091C13C7"/>
    <w:rsid w:val="0A4669B5"/>
    <w:rsid w:val="0BFA3B2C"/>
    <w:rsid w:val="11312983"/>
    <w:rsid w:val="14C24AD9"/>
    <w:rsid w:val="172C00A3"/>
    <w:rsid w:val="18B761FE"/>
    <w:rsid w:val="194B399D"/>
    <w:rsid w:val="1AF3636A"/>
    <w:rsid w:val="1CD203FA"/>
    <w:rsid w:val="1D1041D7"/>
    <w:rsid w:val="251026CF"/>
    <w:rsid w:val="27915427"/>
    <w:rsid w:val="2E544988"/>
    <w:rsid w:val="2FBB6ACC"/>
    <w:rsid w:val="304A7E50"/>
    <w:rsid w:val="334D7C7F"/>
    <w:rsid w:val="340E45C5"/>
    <w:rsid w:val="38A53BAA"/>
    <w:rsid w:val="393D11DA"/>
    <w:rsid w:val="3F1434CE"/>
    <w:rsid w:val="416451E2"/>
    <w:rsid w:val="443D4631"/>
    <w:rsid w:val="447E6A90"/>
    <w:rsid w:val="462D729E"/>
    <w:rsid w:val="4E144BA8"/>
    <w:rsid w:val="54A767AB"/>
    <w:rsid w:val="587C663C"/>
    <w:rsid w:val="5A771A36"/>
    <w:rsid w:val="5ADC1C9D"/>
    <w:rsid w:val="5C8F69B7"/>
    <w:rsid w:val="5EBA216A"/>
    <w:rsid w:val="66AD6A92"/>
    <w:rsid w:val="66C374B6"/>
    <w:rsid w:val="684148CC"/>
    <w:rsid w:val="6A1555D3"/>
    <w:rsid w:val="6D74531F"/>
    <w:rsid w:val="779202B8"/>
    <w:rsid w:val="7D343777"/>
    <w:rsid w:val="7E97605D"/>
    <w:rsid w:val="7EDB4E5C"/>
    <w:rsid w:val="7F34677C"/>
    <w:rsid w:val="7FC5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ind w:left="106"/>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179</Words>
  <Characters>1021</Characters>
  <Lines>8</Lines>
  <Paragraphs>2</Paragraphs>
  <TotalTime>155</TotalTime>
  <ScaleCrop>false</ScaleCrop>
  <LinksUpToDate>false</LinksUpToDate>
  <CharactersWithSpaces>1198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2024-08-26T03:57:00Z</dcterms:created>
  <dc:creator>lulu</dc:creator>
  <cp:lastModifiedBy>lulu</cp:lastModifiedBy>
  <cp:lastPrinted>2024-08-26T09:50:00Z</cp:lastPrinted>
  <dcterms:modified xsi:type="dcterms:W3CDTF">2024-09-02T06:28:19Z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21D0D5701E114E7685AD542031D4C6C0_13</vt:lpwstr>
  </property>
</Properties>
</file>