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ascii="宋体" w:hAnsi="宋体" w:cs="方正小标宋_GBK"/>
          <w:sz w:val="44"/>
          <w:szCs w:val="24"/>
        </w:rPr>
      </w:pPr>
      <w:bookmarkStart w:id="0" w:name="_GoBack"/>
      <w:r>
        <w:rPr>
          <w:rFonts w:hint="eastAsia" w:ascii="宋体" w:hAnsi="宋体" w:cs="方正小标宋_GBK"/>
          <w:sz w:val="44"/>
          <w:szCs w:val="24"/>
        </w:rPr>
        <w:t>福田区2015年国民经济和社会发展计划</w:t>
      </w:r>
    </w:p>
    <w:p>
      <w:pPr>
        <w:autoSpaceDE w:val="0"/>
        <w:autoSpaceDN w:val="0"/>
        <w:spacing w:line="560" w:lineRule="exact"/>
        <w:jc w:val="center"/>
        <w:rPr>
          <w:rFonts w:hint="eastAsia" w:ascii="宋体" w:hAnsi="宋体" w:cs="方正小标宋_GBK"/>
          <w:sz w:val="44"/>
          <w:szCs w:val="24"/>
        </w:rPr>
      </w:pPr>
      <w:r>
        <w:rPr>
          <w:rFonts w:hint="eastAsia" w:ascii="宋体" w:hAnsi="宋体" w:cs="方正小标宋_GBK"/>
          <w:sz w:val="44"/>
          <w:szCs w:val="24"/>
        </w:rPr>
        <w:t>执行情况与2016年计划(草案)的报告</w:t>
      </w:r>
      <w:bookmarkEnd w:id="0"/>
    </w:p>
    <w:p>
      <w:pPr>
        <w:autoSpaceDE w:val="0"/>
        <w:autoSpaceDN w:val="0"/>
        <w:spacing w:line="560" w:lineRule="exact"/>
        <w:jc w:val="center"/>
        <w:rPr>
          <w:rFonts w:hint="eastAsia" w:ascii="仿宋" w:hAnsi="仿宋" w:eastAsia="仿宋"/>
          <w:sz w:val="32"/>
          <w:szCs w:val="32"/>
        </w:rPr>
      </w:pPr>
      <w:r>
        <w:rPr>
          <w:rFonts w:hint="eastAsia" w:ascii="仿宋" w:hAnsi="仿宋" w:eastAsia="仿宋"/>
          <w:sz w:val="32"/>
          <w:szCs w:val="32"/>
        </w:rPr>
        <w:t>（送审稿）</w:t>
      </w:r>
    </w:p>
    <w:p>
      <w:pPr>
        <w:autoSpaceDE w:val="0"/>
        <w:autoSpaceDN w:val="0"/>
        <w:spacing w:line="560" w:lineRule="exact"/>
        <w:ind w:firstLine="640" w:firstLineChars="200"/>
        <w:rPr>
          <w:rFonts w:hint="eastAsia" w:ascii="仿宋" w:hAnsi="仿宋" w:eastAsia="仿宋"/>
          <w:sz w:val="32"/>
          <w:szCs w:val="32"/>
        </w:rPr>
      </w:pPr>
    </w:p>
    <w:p>
      <w:pPr>
        <w:autoSpaceDE w:val="0"/>
        <w:autoSpaceDN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一、2015年国民经济和社会发展总体态势</w:t>
      </w:r>
    </w:p>
    <w:p>
      <w:pPr>
        <w:autoSpaceDE w:val="0"/>
        <w:autoSpaceDN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2015年以来，我国经济进入新常态，外部环境错综复杂，在区委区政府的正确领导下，我区全面贯彻落实党的十八大、十八届四中、五中全会精神以及市第六次党代会精神，以“四个全面”为统领，不断提升综合环境，勇于改革创新，优化产业与空间，着力改善民生福利，经济社会平稳、健康、持续发展，较好完成全年经济社会发展主要目标。</w:t>
      </w:r>
    </w:p>
    <w:p>
      <w:pPr>
        <w:spacing w:line="560" w:lineRule="exact"/>
        <w:ind w:firstLine="480" w:firstLineChars="150"/>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（一）2015年目标完成情况</w:t>
      </w:r>
      <w:r>
        <w:rPr>
          <w:rFonts w:hint="eastAsia" w:ascii="仿宋_GB2312" w:hAnsi="楷体" w:eastAsia="仿宋_GB2312" w:cs="宋体"/>
          <w:color w:val="000000"/>
          <w:kern w:val="0"/>
          <w:sz w:val="32"/>
          <w:szCs w:val="32"/>
        </w:rPr>
        <w:t>（均为全年预计值）</w:t>
      </w:r>
    </w:p>
    <w:p>
      <w:pPr>
        <w:autoSpaceDE w:val="0"/>
        <w:autoSpaceDN w:val="0"/>
        <w:spacing w:line="560" w:lineRule="exact"/>
        <w:ind w:firstLine="616" w:firstLineChars="200"/>
        <w:rPr>
          <w:rFonts w:hint="eastAsia" w:ascii="仿宋" w:hAnsi="仿宋" w:eastAsia="仿宋"/>
          <w:sz w:val="32"/>
          <w:szCs w:val="32"/>
        </w:rPr>
      </w:pPr>
      <w:r>
        <w:rPr>
          <w:rFonts w:hint="eastAsia" w:ascii="仿宋" w:hAnsi="仿宋" w:eastAsia="仿宋" w:cs="方正小标宋_GBK"/>
          <w:spacing w:val="-6"/>
          <w:sz w:val="32"/>
          <w:szCs w:val="32"/>
        </w:rPr>
        <w:t>——</w:t>
      </w:r>
      <w:r>
        <w:rPr>
          <w:rFonts w:hint="eastAsia" w:ascii="仿宋" w:hAnsi="仿宋" w:eastAsia="仿宋"/>
          <w:sz w:val="32"/>
          <w:szCs w:val="32"/>
        </w:rPr>
        <w:t>本区生产总值3260亿元，比上年同期（下同）增长9.0%，超预期目标0.5个百分点，比上年提高0.1个百分点。</w:t>
      </w:r>
    </w:p>
    <w:p>
      <w:pPr>
        <w:autoSpaceDE w:val="0"/>
        <w:autoSpaceDN w:val="0"/>
        <w:spacing w:line="560" w:lineRule="exact"/>
        <w:ind w:firstLine="616" w:firstLineChars="200"/>
        <w:rPr>
          <w:rFonts w:hint="eastAsia" w:ascii="仿宋" w:hAnsi="仿宋" w:eastAsia="仿宋"/>
          <w:sz w:val="32"/>
          <w:szCs w:val="32"/>
        </w:rPr>
      </w:pPr>
      <w:r>
        <w:rPr>
          <w:rFonts w:hint="eastAsia" w:ascii="仿宋" w:hAnsi="仿宋" w:eastAsia="仿宋" w:cs="方正小标宋_GBK"/>
          <w:spacing w:val="-6"/>
          <w:sz w:val="32"/>
          <w:szCs w:val="32"/>
        </w:rPr>
        <w:t>——</w:t>
      </w:r>
      <w:r>
        <w:rPr>
          <w:rFonts w:hint="eastAsia" w:ascii="仿宋" w:hAnsi="仿宋" w:eastAsia="仿宋"/>
          <w:sz w:val="32"/>
          <w:szCs w:val="32"/>
        </w:rPr>
        <w:t>社会消费品零售总额1532亿元，增长1.5%，超预期目标0.5个百分点；</w:t>
      </w:r>
    </w:p>
    <w:p>
      <w:pPr>
        <w:autoSpaceDE w:val="0"/>
        <w:autoSpaceDN w:val="0"/>
        <w:spacing w:line="560" w:lineRule="exact"/>
        <w:ind w:firstLine="616" w:firstLineChars="200"/>
        <w:rPr>
          <w:rFonts w:hint="eastAsia" w:ascii="仿宋" w:hAnsi="仿宋" w:eastAsia="仿宋"/>
          <w:sz w:val="32"/>
          <w:szCs w:val="32"/>
        </w:rPr>
      </w:pPr>
      <w:r>
        <w:rPr>
          <w:rFonts w:hint="eastAsia" w:ascii="仿宋" w:hAnsi="仿宋" w:eastAsia="仿宋" w:cs="方正小标宋_GBK"/>
          <w:spacing w:val="-6"/>
          <w:sz w:val="32"/>
          <w:szCs w:val="32"/>
        </w:rPr>
        <w:t>——</w:t>
      </w:r>
      <w:r>
        <w:rPr>
          <w:rFonts w:hint="eastAsia" w:ascii="仿宋" w:hAnsi="仿宋" w:eastAsia="仿宋"/>
          <w:sz w:val="32"/>
          <w:szCs w:val="32"/>
        </w:rPr>
        <w:t>固定资产投资完成220亿元，增长21.4%，超预期目标16.4个百分点；</w:t>
      </w:r>
    </w:p>
    <w:p>
      <w:pPr>
        <w:autoSpaceDE w:val="0"/>
        <w:autoSpaceDN w:val="0"/>
        <w:spacing w:line="560" w:lineRule="exact"/>
        <w:ind w:firstLine="616" w:firstLineChars="200"/>
        <w:rPr>
          <w:rFonts w:hint="eastAsia" w:ascii="仿宋" w:hAnsi="仿宋" w:eastAsia="仿宋"/>
          <w:sz w:val="32"/>
          <w:szCs w:val="32"/>
        </w:rPr>
      </w:pPr>
      <w:r>
        <w:rPr>
          <w:rFonts w:hint="eastAsia" w:ascii="仿宋" w:hAnsi="仿宋" w:eastAsia="仿宋" w:cs="方正小标宋_GBK"/>
          <w:spacing w:val="-6"/>
          <w:sz w:val="32"/>
          <w:szCs w:val="32"/>
        </w:rPr>
        <w:t>——</w:t>
      </w:r>
      <w:r>
        <w:rPr>
          <w:rFonts w:hint="eastAsia" w:ascii="仿宋" w:hAnsi="仿宋" w:eastAsia="仿宋"/>
          <w:sz w:val="32"/>
          <w:szCs w:val="32"/>
        </w:rPr>
        <w:t>进出口总额1130亿美元，增长5.5%，超预期目标5.5个百分点；</w:t>
      </w:r>
    </w:p>
    <w:p>
      <w:pPr>
        <w:autoSpaceDE w:val="0"/>
        <w:autoSpaceDN w:val="0"/>
        <w:spacing w:line="560" w:lineRule="exact"/>
        <w:ind w:firstLine="616" w:firstLineChars="200"/>
        <w:rPr>
          <w:rFonts w:hint="eastAsia" w:ascii="仿宋" w:hAnsi="仿宋" w:eastAsia="仿宋"/>
          <w:sz w:val="32"/>
          <w:szCs w:val="32"/>
        </w:rPr>
      </w:pPr>
      <w:r>
        <w:rPr>
          <w:rFonts w:hint="eastAsia" w:ascii="仿宋" w:hAnsi="仿宋" w:eastAsia="仿宋" w:cs="方正小标宋_GBK"/>
          <w:spacing w:val="-6"/>
          <w:sz w:val="32"/>
          <w:szCs w:val="32"/>
        </w:rPr>
        <w:t>——</w:t>
      </w:r>
      <w:r>
        <w:rPr>
          <w:rFonts w:hint="eastAsia" w:ascii="仿宋" w:hAnsi="仿宋" w:eastAsia="仿宋"/>
          <w:sz w:val="32"/>
          <w:szCs w:val="32"/>
        </w:rPr>
        <w:t>一般公共预算收入完成141.9亿元，增长18.08%，超预期目标12.9亿元：（剔除不可比因素）</w:t>
      </w:r>
    </w:p>
    <w:p>
      <w:pPr>
        <w:autoSpaceDE w:val="0"/>
        <w:autoSpaceDN w:val="0"/>
        <w:spacing w:line="560" w:lineRule="exact"/>
        <w:ind w:firstLine="616" w:firstLineChars="200"/>
        <w:rPr>
          <w:rFonts w:hint="eastAsia" w:ascii="仿宋" w:hAnsi="仿宋" w:eastAsia="仿宋"/>
          <w:sz w:val="32"/>
          <w:szCs w:val="32"/>
        </w:rPr>
      </w:pPr>
      <w:r>
        <w:rPr>
          <w:rFonts w:hint="eastAsia" w:ascii="仿宋" w:hAnsi="仿宋" w:eastAsia="仿宋" w:cs="方正小标宋_GBK"/>
          <w:spacing w:val="-6"/>
          <w:sz w:val="32"/>
          <w:szCs w:val="32"/>
        </w:rPr>
        <w:t>——</w:t>
      </w:r>
      <w:r>
        <w:rPr>
          <w:rFonts w:hint="eastAsia" w:ascii="仿宋" w:hAnsi="仿宋" w:eastAsia="仿宋"/>
          <w:sz w:val="32"/>
          <w:szCs w:val="32"/>
        </w:rPr>
        <w:t>居民登记失业率控制在3%以内，完成预期目标；</w:t>
      </w:r>
    </w:p>
    <w:p>
      <w:pPr>
        <w:autoSpaceDE w:val="0"/>
        <w:autoSpaceDN w:val="0"/>
        <w:spacing w:line="560" w:lineRule="exact"/>
        <w:ind w:firstLine="616" w:firstLineChars="200"/>
        <w:rPr>
          <w:rFonts w:hint="eastAsia" w:ascii="仿宋" w:hAnsi="仿宋" w:eastAsia="仿宋"/>
          <w:sz w:val="32"/>
          <w:szCs w:val="32"/>
        </w:rPr>
      </w:pPr>
      <w:r>
        <w:rPr>
          <w:rFonts w:hint="eastAsia" w:ascii="仿宋" w:hAnsi="仿宋" w:eastAsia="仿宋" w:cs="方正小标宋_GBK"/>
          <w:spacing w:val="-6"/>
          <w:sz w:val="32"/>
          <w:szCs w:val="32"/>
        </w:rPr>
        <w:t>——</w:t>
      </w:r>
      <w:r>
        <w:rPr>
          <w:rFonts w:hint="eastAsia" w:ascii="仿宋" w:hAnsi="仿宋" w:eastAsia="仿宋"/>
          <w:sz w:val="32"/>
          <w:szCs w:val="32"/>
        </w:rPr>
        <w:t>万元GDP建设用地1.74平方米，下降8.3%，完成预期目标。</w:t>
      </w:r>
    </w:p>
    <w:p>
      <w:pPr>
        <w:tabs>
          <w:tab w:val="left" w:pos="709"/>
        </w:tabs>
        <w:autoSpaceDE w:val="0"/>
        <w:autoSpaceDN w:val="0"/>
        <w:spacing w:line="560" w:lineRule="exact"/>
        <w:ind w:firstLine="480" w:firstLineChars="150"/>
        <w:rPr>
          <w:rFonts w:hint="eastAsia" w:ascii="楷体" w:hAnsi="楷体" w:eastAsia="楷体" w:cs="楷体_GB2312"/>
          <w:sz w:val="32"/>
          <w:szCs w:val="32"/>
        </w:rPr>
      </w:pPr>
      <w:r>
        <w:rPr>
          <w:rFonts w:hint="eastAsia" w:ascii="楷体" w:hAnsi="楷体" w:eastAsia="楷体" w:cs="楷体_GB2312"/>
          <w:sz w:val="32"/>
          <w:szCs w:val="32"/>
        </w:rPr>
        <w:t>（二）经济社会发展的主要特点</w:t>
      </w:r>
    </w:p>
    <w:p>
      <w:pPr>
        <w:autoSpaceDE w:val="0"/>
        <w:autoSpaceDN w:val="0"/>
        <w:spacing w:line="560" w:lineRule="exact"/>
        <w:ind w:firstLine="642" w:firstLineChars="200"/>
        <w:rPr>
          <w:rFonts w:hint="eastAsia" w:ascii="仿宋" w:hAnsi="仿宋" w:eastAsia="仿宋"/>
          <w:b/>
          <w:sz w:val="32"/>
          <w:szCs w:val="32"/>
        </w:rPr>
      </w:pPr>
      <w:r>
        <w:rPr>
          <w:rFonts w:hint="eastAsia" w:ascii="仿宋" w:hAnsi="仿宋" w:eastAsia="仿宋"/>
          <w:b/>
          <w:sz w:val="32"/>
          <w:szCs w:val="32"/>
        </w:rPr>
        <w:t>1、经济发展稳中提质。</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产业结构不断优化，第三产业实现增加值3048亿元，增长9.1%，占GDP的 93.5%，比上年提高0.35个百分点，其中生产性服务业实现增加值2270亿元，占第三产业增加值的74.5%。金融业实现增加值1140亿元，增长13%，占GDP的35%，对辖区经济贡献率超过四成。特色经济效益明显，总部企业实现增加值1300亿元，增长11.9%，占GDP的39.9%；文化产业实现增加值275亿元，增长10.1%，高于GDP增速1.1个百分点，占全市近两成比重；专门专业服务业实现增加值360亿元，增长11.3%。坚持“质效并举、高产低耗”的发展模式。财税收入增长良好，其中</w:t>
      </w:r>
      <w:r>
        <w:rPr>
          <w:rFonts w:hint="eastAsia" w:ascii="仿宋" w:hAnsi="仿宋" w:eastAsia="仿宋"/>
          <w:sz w:val="32"/>
          <w:szCs w:val="32"/>
          <w:lang w:eastAsia="zh-CN"/>
        </w:rPr>
        <w:t>一般公共</w:t>
      </w:r>
      <w:r>
        <w:rPr>
          <w:rFonts w:hint="eastAsia" w:ascii="仿宋" w:hAnsi="仿宋" w:eastAsia="仿宋"/>
          <w:sz w:val="32"/>
          <w:szCs w:val="32"/>
        </w:rPr>
        <w:t>预算收入143亿元，增长19.0%；全区实现税收总额1100亿元，全市排名第一，增长37.5%。GDP地均集约度达41.44亿元/平方公里，增长9.0%，是全市平均水平五倍，万元地区生产总值建设用地1.74平方米，下降8.3%，为全市水平的三分之一；万元地区生产总值能耗、电耗和水耗等各项能源消耗均大大低于全市平均水平。投资、消费、进出口的内部结构调整，房地产投资147亿元，增长14.8%，占全区固定资产投资总额的67%，滨河时代、赛格日立、岗厦河园片区等城市更新单元项目投资额总计101亿元。受汽车限购影响，汽车类和石油类销售额预计分别减少50亿和30亿元以上。进出口贸易绝对值全市排名第一，占全市进出口总额近三成。对香港出口增长加快，机电产品、高新技术产品出口保持增长，其中，1-11月高新技术产品出口243.2亿美元，增长5.62%，占我区外贸出口总值的49.7%。</w:t>
      </w:r>
    </w:p>
    <w:p>
      <w:pPr>
        <w:autoSpaceDE w:val="0"/>
        <w:autoSpaceDN w:val="0"/>
        <w:spacing w:line="560" w:lineRule="exact"/>
        <w:ind w:firstLine="642" w:firstLineChars="200"/>
        <w:rPr>
          <w:rFonts w:hint="eastAsia" w:ascii="仿宋" w:hAnsi="仿宋" w:eastAsia="仿宋"/>
          <w:b/>
          <w:sz w:val="32"/>
          <w:szCs w:val="32"/>
        </w:rPr>
      </w:pPr>
      <w:r>
        <w:rPr>
          <w:rFonts w:hint="eastAsia" w:ascii="仿宋" w:hAnsi="仿宋" w:eastAsia="仿宋"/>
          <w:b/>
          <w:sz w:val="32"/>
          <w:szCs w:val="32"/>
        </w:rPr>
        <w:t>2、创新驱动持续增强。</w:t>
      </w:r>
    </w:p>
    <w:p>
      <w:pPr>
        <w:autoSpaceDE w:val="0"/>
        <w:autoSpaceDN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2015年高新技术产业实现增加值300亿元，增长9.1%，高于GDP增速0.1个百分点，占GDP比重为9.2%。截至三季度全区国家级高新技术企业比去年新增50家，共651家；全区专利申请数为12063件，同比增长24.54%，其中发明专利申请数4237件，同比增长14.4%；</w:t>
      </w:r>
      <w:r>
        <w:rPr>
          <w:rFonts w:hint="eastAsia" w:ascii="仿宋" w:hAnsi="仿宋" w:eastAsia="仿宋" w:cs="宋体"/>
          <w:kern w:val="0"/>
          <w:sz w:val="32"/>
          <w:szCs w:val="32"/>
        </w:rPr>
        <w:t>深圳国际创新中心入驻企业54家，华强云产业园和益田创新科技园入驻企业114家，科技企业94家。</w:t>
      </w:r>
      <w:r>
        <w:rPr>
          <w:rFonts w:hint="eastAsia" w:ascii="仿宋" w:hAnsi="仿宋" w:eastAsia="仿宋"/>
          <w:sz w:val="32"/>
          <w:szCs w:val="32"/>
        </w:rPr>
        <w:t>拥有深圳市高层次专业人才515名，占全市13%，其中国家级领军人才40名，占全市28%。推动创客创新创业，组织5家创客平台、12家创新创业企业参展全国创新创业成果展示周深圳分展场活动；华强北国际创客中心、赛格创客中心、中芬开放创新实验室、京东E港创客中心、科技寺等多家创客空间陆续成立，支持国际硬件加速项目HAXLR8R在福田发展，营造便利的空间、技术、硬件、资金、创业培训等条件，助力企业“从摇篮到上市”的一站式服务；完成“智慧福田WIFI通三期”项目建设，年底正式上线。</w:t>
      </w:r>
    </w:p>
    <w:p>
      <w:pPr>
        <w:autoSpaceDE w:val="0"/>
        <w:autoSpaceDN w:val="0"/>
        <w:spacing w:line="560" w:lineRule="exact"/>
        <w:ind w:firstLine="642" w:firstLineChars="200"/>
        <w:rPr>
          <w:rFonts w:hint="eastAsia" w:ascii="仿宋" w:hAnsi="仿宋" w:eastAsia="仿宋"/>
          <w:b/>
          <w:sz w:val="32"/>
          <w:szCs w:val="32"/>
        </w:rPr>
      </w:pPr>
      <w:r>
        <w:rPr>
          <w:rFonts w:hint="eastAsia" w:ascii="仿宋" w:hAnsi="仿宋" w:eastAsia="仿宋"/>
          <w:b/>
          <w:sz w:val="32"/>
          <w:szCs w:val="32"/>
        </w:rPr>
        <w:t>3、重点区域开发建设提速。</w:t>
      </w:r>
    </w:p>
    <w:p>
      <w:pPr>
        <w:autoSpaceDN w:val="0"/>
        <w:spacing w:line="560" w:lineRule="exact"/>
        <w:rPr>
          <w:rFonts w:hint="eastAsia" w:ascii="仿宋" w:hAnsi="仿宋" w:eastAsia="仿宋" w:cs="宋体"/>
          <w:kern w:val="0"/>
          <w:sz w:val="32"/>
          <w:szCs w:val="32"/>
        </w:rPr>
      </w:pPr>
      <w:r>
        <w:rPr>
          <w:rFonts w:hint="eastAsia" w:ascii="仿宋" w:hAnsi="仿宋" w:eastAsia="仿宋" w:cs="宋体"/>
          <w:kern w:val="0"/>
          <w:sz w:val="32"/>
          <w:szCs w:val="32"/>
        </w:rPr>
        <w:t xml:space="preserve">    福田保税区</w:t>
      </w:r>
      <w:r>
        <w:rPr>
          <w:rFonts w:hint="eastAsia" w:ascii="仿宋" w:hAnsi="仿宋" w:eastAsia="仿宋" w:cs="宋体"/>
          <w:kern w:val="0"/>
          <w:sz w:val="32"/>
          <w:szCs w:val="32"/>
          <w:lang w:eastAsia="zh-CN"/>
        </w:rPr>
        <w:t>已</w:t>
      </w:r>
      <w:r>
        <w:rPr>
          <w:rFonts w:hint="eastAsia" w:ascii="仿宋" w:hAnsi="仿宋" w:eastAsia="仿宋" w:cs="宋体"/>
          <w:kern w:val="0"/>
          <w:sz w:val="32"/>
          <w:szCs w:val="32"/>
        </w:rPr>
        <w:t>纳入我市重点开发建设区域，我区以超常规的措施统筹推进，统一园区标识标志、协调推动新洲路南延工程，部分路面改造，打造景观楼宇和景观绿道，实施楼宇建筑外观改造提升工方案，建设相关配套设施。长富金茂大厦、东方嘉盛现代化仓库、创凌通科技大厦已竣工，新增产业空间25.6</w:t>
      </w:r>
      <w:r>
        <w:rPr>
          <w:rFonts w:hint="eastAsia" w:ascii="仿宋" w:hAnsi="仿宋" w:eastAsia="仿宋" w:cs="宋体"/>
          <w:kern w:val="0"/>
          <w:sz w:val="32"/>
          <w:szCs w:val="32"/>
          <w:lang w:eastAsia="zh-CN"/>
        </w:rPr>
        <w:t>万平米</w:t>
      </w:r>
      <w:r>
        <w:rPr>
          <w:rFonts w:hint="eastAsia" w:ascii="仿宋" w:hAnsi="仿宋" w:eastAsia="仿宋" w:cs="宋体"/>
          <w:kern w:val="0"/>
          <w:sz w:val="32"/>
          <w:szCs w:val="32"/>
        </w:rPr>
        <w:t>。系统研究规划彩田—梅林片区，购置深业上城、京基滨河时代等约16万平方米高端物业资源。中心区片区15家金融总部项目建设顺利，其中太平金融大厦、中信银行大厦已完工并进入招商阶段。“空间拓展及城市更新双百计划”有序推进，全区共统筹71个城市更新项目，其中储备项目20个，计划已批项目51个，城市更新项目实施率为33%，位居全市各区前列，完成固定资产投资100亿元，超过全区固定资产投资总额的四成。</w:t>
      </w:r>
    </w:p>
    <w:p>
      <w:pPr>
        <w:autoSpaceDE w:val="0"/>
        <w:autoSpaceDN w:val="0"/>
        <w:spacing w:line="560" w:lineRule="exact"/>
        <w:ind w:firstLine="642" w:firstLineChars="200"/>
        <w:rPr>
          <w:rFonts w:hint="eastAsia" w:ascii="仿宋" w:hAnsi="仿宋" w:eastAsia="仿宋"/>
          <w:b/>
          <w:sz w:val="32"/>
          <w:szCs w:val="32"/>
        </w:rPr>
      </w:pPr>
      <w:r>
        <w:rPr>
          <w:rFonts w:hint="eastAsia" w:ascii="仿宋" w:hAnsi="仿宋" w:eastAsia="仿宋"/>
          <w:b/>
          <w:sz w:val="32"/>
          <w:szCs w:val="32"/>
        </w:rPr>
        <w:t>4、企业服务持续升级。</w:t>
      </w:r>
    </w:p>
    <w:p>
      <w:pPr>
        <w:autoSpaceDE w:val="0"/>
        <w:autoSpaceDN w:val="0"/>
        <w:spacing w:line="560" w:lineRule="exact"/>
        <w:ind w:firstLine="640" w:firstLineChars="200"/>
        <w:jc w:val="left"/>
        <w:rPr>
          <w:rFonts w:hint="eastAsia" w:ascii="仿宋_GB2312" w:hAnsi="宋体" w:eastAsia="仿宋_GB2312"/>
          <w:sz w:val="32"/>
          <w:szCs w:val="32"/>
        </w:rPr>
      </w:pPr>
      <w:r>
        <w:rPr>
          <w:rFonts w:hint="eastAsia" w:ascii="仿宋" w:hAnsi="仿宋" w:eastAsia="仿宋"/>
          <w:sz w:val="32"/>
          <w:szCs w:val="32"/>
        </w:rPr>
        <w:t>高效落实产业资金审核发放工作，2015年审议批准项目1061个，涉及企业（个人）908家（次），共发放资金15496.76万元；举办2015年福田创客汇活动，通过主题讲演、创客马拉松、专业展会、创客大赛及全球开源创新等多种形式，吸引国内外创客2000多人参加，营造福田创新创业的优良环境；与深交所合作举办企业上市改制论坛，开展企业家关爱行动，提升绿色通道服务，建立企业品质空间站，推送重大经济发展、政策支撑等信息；搭建政会常态交流机制，走访行业协会，并依托行业协会召开企业代表座谈会34场，共计325家企业参会，收集并现场协调解决需求建议212条；创新企业服务模式，研究建立了需求发现、服务研发、标准化提供和绩效评价机制，2015年构建了企业服务标准管理体系，形成通用基础标准体系、资源管理标准体系、服务提供标准体系、绩效评价标准体系等4大体系，梳理法律法规66项，汇总并编制了142项标准。开展了20课时标准化培训。</w:t>
      </w:r>
    </w:p>
    <w:p>
      <w:pPr>
        <w:autoSpaceDE w:val="0"/>
        <w:autoSpaceDN w:val="0"/>
        <w:spacing w:line="560" w:lineRule="exact"/>
        <w:ind w:firstLine="642" w:firstLineChars="200"/>
        <w:rPr>
          <w:rFonts w:hint="eastAsia" w:ascii="仿宋" w:hAnsi="仿宋" w:eastAsia="仿宋"/>
          <w:b/>
          <w:sz w:val="32"/>
          <w:szCs w:val="32"/>
        </w:rPr>
      </w:pPr>
      <w:r>
        <w:rPr>
          <w:rFonts w:hint="eastAsia" w:ascii="仿宋" w:hAnsi="仿宋" w:eastAsia="仿宋"/>
          <w:b/>
          <w:sz w:val="32"/>
          <w:szCs w:val="32"/>
        </w:rPr>
        <w:t>5、20项民生实事顺利推进。</w:t>
      </w:r>
    </w:p>
    <w:p>
      <w:pPr>
        <w:widowControl/>
        <w:spacing w:line="560" w:lineRule="exact"/>
        <w:ind w:firstLine="640"/>
        <w:rPr>
          <w:rFonts w:hint="eastAsia" w:ascii="仿宋" w:hAnsi="仿宋" w:eastAsia="仿宋" w:cs="宋体"/>
          <w:color w:val="000000"/>
          <w:kern w:val="0"/>
          <w:sz w:val="32"/>
          <w:szCs w:val="32"/>
        </w:rPr>
      </w:pPr>
      <w:r>
        <w:rPr>
          <w:rFonts w:hint="eastAsia" w:ascii="仿宋" w:hAnsi="仿宋" w:eastAsia="仿宋" w:cs="宋体"/>
          <w:kern w:val="0"/>
          <w:sz w:val="32"/>
          <w:szCs w:val="32"/>
        </w:rPr>
        <w:t>20项民生实事推进良好，出台《</w:t>
      </w:r>
      <w:r>
        <w:rPr>
          <w:rFonts w:hint="eastAsia" w:ascii="仿宋" w:hAnsi="仿宋" w:eastAsia="仿宋" w:cs="宋体"/>
          <w:color w:val="000000"/>
          <w:kern w:val="0"/>
          <w:sz w:val="32"/>
          <w:szCs w:val="32"/>
        </w:rPr>
        <w:t>福田区“民生微实事”项目工作指引》，全年</w:t>
      </w:r>
      <w:r>
        <w:rPr>
          <w:rFonts w:hint="eastAsia" w:ascii="仿宋" w:hAnsi="仿宋" w:eastAsia="仿宋" w:cs="仿宋"/>
          <w:color w:val="000000"/>
          <w:kern w:val="0"/>
          <w:sz w:val="32"/>
          <w:szCs w:val="32"/>
        </w:rPr>
        <w:t>共征集“民生微实事”项目1198个，投入财政资金5170万元，吸引社会资金1450万元，完成84%项目。</w:t>
      </w:r>
      <w:r>
        <w:rPr>
          <w:rFonts w:hint="eastAsia" w:ascii="仿宋" w:hAnsi="仿宋" w:eastAsia="仿宋" w:cs="宋体"/>
          <w:kern w:val="0"/>
          <w:sz w:val="32"/>
          <w:szCs w:val="32"/>
        </w:rPr>
        <w:t>红树林湿地公园正式开园，建成上沙村、梅山中学、福田村人才迷你公寓，建成区妇幼保健院立体停车库，</w:t>
      </w:r>
      <w:r>
        <w:rPr>
          <w:rFonts w:hint="eastAsia" w:ascii="仿宋" w:hAnsi="仿宋" w:eastAsia="仿宋" w:cs="宋体"/>
          <w:color w:val="000000"/>
          <w:kern w:val="0"/>
          <w:sz w:val="32"/>
          <w:szCs w:val="32"/>
        </w:rPr>
        <w:t>完成辖区15个小区的供水管网改造工作，启动深华宿舍小区、新洲花园小区等5个老住宅区综合整治工程，</w:t>
      </w:r>
      <w:r>
        <w:rPr>
          <w:rFonts w:hint="eastAsia" w:ascii="仿宋" w:hAnsi="仿宋" w:eastAsia="仿宋" w:cs="宋体"/>
          <w:kern w:val="0"/>
          <w:sz w:val="32"/>
          <w:szCs w:val="32"/>
        </w:rPr>
        <w:t>新增城中村文化广场、办事大厅、口岸及交通枢纽等公共场所151个WIFI覆盖点。</w:t>
      </w:r>
      <w:r>
        <w:rPr>
          <w:rFonts w:hint="eastAsia" w:ascii="仿宋" w:hAnsi="仿宋" w:eastAsia="仿宋" w:cs="宋体"/>
          <w:color w:val="000000"/>
          <w:kern w:val="0"/>
          <w:sz w:val="32"/>
          <w:szCs w:val="32"/>
        </w:rPr>
        <w:t>全区10个街道的访前法律工作室正式挂牌运作，</w:t>
      </w:r>
      <w:r>
        <w:rPr>
          <w:rFonts w:hint="eastAsia" w:ascii="仿宋" w:hAnsi="仿宋" w:eastAsia="仿宋" w:cs="宋体"/>
          <w:kern w:val="0"/>
          <w:sz w:val="32"/>
          <w:szCs w:val="32"/>
        </w:rPr>
        <w:t>对“福田政府在线”网站进行无障碍改造建设，</w:t>
      </w:r>
      <w:r>
        <w:rPr>
          <w:rFonts w:hint="eastAsia" w:ascii="仿宋" w:hAnsi="仿宋" w:eastAsia="仿宋" w:cs="仿宋"/>
          <w:color w:val="000000"/>
          <w:kern w:val="0"/>
          <w:sz w:val="32"/>
          <w:szCs w:val="32"/>
        </w:rPr>
        <w:t>举办免费公</w:t>
      </w:r>
      <w:r>
        <w:rPr>
          <w:rFonts w:hint="eastAsia" w:ascii="仿宋" w:hAnsi="仿宋" w:eastAsia="仿宋" w:cs="宋体"/>
          <w:color w:val="000000"/>
          <w:kern w:val="0"/>
          <w:sz w:val="32"/>
          <w:szCs w:val="32"/>
        </w:rPr>
        <w:t>益培训班100个，公益演出246场，免费泳场开放100天，</w:t>
      </w:r>
      <w:r>
        <w:rPr>
          <w:rFonts w:hint="eastAsia" w:ascii="仿宋" w:hAnsi="仿宋" w:eastAsia="仿宋" w:cs="仿宋"/>
          <w:color w:val="000000"/>
          <w:kern w:val="0"/>
          <w:sz w:val="32"/>
          <w:szCs w:val="32"/>
        </w:rPr>
        <w:t>为老年人体检20183人，</w:t>
      </w:r>
      <w:r>
        <w:rPr>
          <w:rFonts w:hint="eastAsia" w:ascii="仿宋" w:hAnsi="仿宋" w:eastAsia="仿宋" w:cs="宋体"/>
          <w:color w:val="000000"/>
          <w:kern w:val="0"/>
          <w:sz w:val="32"/>
          <w:szCs w:val="32"/>
        </w:rPr>
        <w:t>认定创业孵化基地25</w:t>
      </w:r>
      <w:r>
        <w:rPr>
          <w:rFonts w:hint="eastAsia" w:ascii="仿宋" w:hAnsi="仿宋" w:eastAsia="仿宋" w:cs="宋体"/>
          <w:kern w:val="0"/>
          <w:sz w:val="32"/>
          <w:szCs w:val="32"/>
        </w:rPr>
        <w:t>家，其中市级以上有6家，入驻基地创业者2295名，创造就业岗位近6000个。开展“梦</w:t>
      </w:r>
      <w:r>
        <w:rPr>
          <w:rFonts w:hint="eastAsia" w:ascii="宋体" w:hAnsi="宋体" w:cs="宋体"/>
          <w:kern w:val="0"/>
          <w:sz w:val="32"/>
          <w:szCs w:val="32"/>
        </w:rPr>
        <w:t>•</w:t>
      </w:r>
      <w:r>
        <w:rPr>
          <w:rFonts w:hint="eastAsia" w:ascii="仿宋" w:hAnsi="仿宋" w:eastAsia="仿宋" w:cs="仿宋"/>
          <w:kern w:val="0"/>
          <w:sz w:val="32"/>
          <w:szCs w:val="32"/>
        </w:rPr>
        <w:t>想</w:t>
      </w:r>
      <w:r>
        <w:rPr>
          <w:rFonts w:hint="eastAsia" w:ascii="宋体" w:hAnsi="宋体" w:cs="宋体"/>
          <w:kern w:val="0"/>
          <w:sz w:val="32"/>
          <w:szCs w:val="32"/>
        </w:rPr>
        <w:t>•</w:t>
      </w:r>
      <w:r>
        <w:rPr>
          <w:rFonts w:hint="eastAsia" w:ascii="仿宋" w:hAnsi="仿宋" w:eastAsia="仿宋" w:cs="仿宋"/>
          <w:kern w:val="0"/>
          <w:sz w:val="32"/>
          <w:szCs w:val="32"/>
        </w:rPr>
        <w:t>家”福田新市民融合行动，</w:t>
      </w:r>
      <w:r>
        <w:rPr>
          <w:rFonts w:hint="eastAsia" w:ascii="仿宋" w:hAnsi="仿宋" w:eastAsia="仿宋" w:cs="宋体"/>
          <w:kern w:val="0"/>
          <w:sz w:val="32"/>
          <w:szCs w:val="32"/>
        </w:rPr>
        <w:t>举办现场招聘会161场次，提供就业岗位34734个,促成失业人员达成就业意向1810人；累计促进户籍失业人员实现就业2823人，促进就业困难人员就业1423人，享</w:t>
      </w:r>
      <w:r>
        <w:rPr>
          <w:rFonts w:hint="eastAsia" w:ascii="仿宋" w:hAnsi="仿宋" w:eastAsia="仿宋" w:cs="宋体"/>
          <w:color w:val="000000"/>
          <w:kern w:val="0"/>
          <w:sz w:val="32"/>
          <w:szCs w:val="32"/>
        </w:rPr>
        <w:t>受就业创业援助补贴1.5万人。改扩建6个学校，预计今年增加中小学27个班/1215个学位，幼儿园增加9个班/270个学位。</w:t>
      </w:r>
    </w:p>
    <w:p>
      <w:pPr>
        <w:autoSpaceDE w:val="0"/>
        <w:autoSpaceDN w:val="0"/>
        <w:spacing w:line="560" w:lineRule="exact"/>
        <w:ind w:firstLine="642" w:firstLineChars="200"/>
        <w:rPr>
          <w:rFonts w:hint="eastAsia" w:ascii="仿宋" w:hAnsi="仿宋" w:eastAsia="仿宋"/>
          <w:b/>
          <w:sz w:val="32"/>
          <w:szCs w:val="32"/>
        </w:rPr>
      </w:pPr>
      <w:r>
        <w:rPr>
          <w:rFonts w:hint="eastAsia" w:ascii="仿宋" w:hAnsi="仿宋" w:eastAsia="仿宋"/>
          <w:b/>
          <w:sz w:val="32"/>
          <w:szCs w:val="32"/>
        </w:rPr>
        <w:t>6、绿色发展卓有成效。</w:t>
      </w:r>
    </w:p>
    <w:p>
      <w:pPr>
        <w:spacing w:line="560" w:lineRule="exact"/>
        <w:ind w:firstLine="640" w:firstLineChars="200"/>
        <w:rPr>
          <w:rFonts w:hint="eastAsia" w:ascii="仿宋" w:hAnsi="仿宋" w:eastAsia="仿宋"/>
          <w:sz w:val="32"/>
          <w:szCs w:val="32"/>
        </w:rPr>
      </w:pPr>
      <w:r>
        <w:rPr>
          <w:rFonts w:hint="eastAsia" w:ascii="仿宋" w:hAnsi="仿宋" w:eastAsia="仿宋" w:cs="宋体"/>
          <w:color w:val="000000"/>
          <w:kern w:val="0"/>
          <w:sz w:val="32"/>
          <w:szCs w:val="32"/>
        </w:rPr>
        <w:t>扩大绿色发展产业专项资金支持范围，新增能源管理、清洁生产等基础性事项；在全国率先</w:t>
      </w:r>
      <w:r>
        <w:rPr>
          <w:rFonts w:hint="eastAsia" w:ascii="仿宋" w:hAnsi="仿宋" w:eastAsia="仿宋" w:cs="宋体"/>
          <w:color w:val="000000"/>
          <w:kern w:val="0"/>
          <w:sz w:val="32"/>
          <w:szCs w:val="32"/>
          <w:lang w:eastAsia="zh-CN"/>
        </w:rPr>
        <w:t>推行</w:t>
      </w:r>
      <w:r>
        <w:rPr>
          <w:rFonts w:hint="eastAsia" w:ascii="仿宋" w:hAnsi="仿宋" w:eastAsia="仿宋" w:cs="宋体"/>
          <w:color w:val="000000"/>
          <w:kern w:val="0"/>
          <w:sz w:val="32"/>
          <w:szCs w:val="32"/>
        </w:rPr>
        <w:t>“1+4”循环经济评价体系，评出首批循环经济星级园区、楼宇、商场及项目19个，示范单位10家；科学持续推动用能管理和节能降耗改造，产业园区节能率达20－30%，公共楼宇和商场节能率达15－25%；加快新能源汽车充电基础设施建设，目前辖区内已建成新能源汽车充电站15座，约占全市的20%；百园福田建设取得新成绩，完成5个分别以紫薇花开、旱溪模拟、芬芳疗养、生态环保、文化休闲为主题的社区公园，目前辖区公园总数达109个，香蜜公园正式动工；在全市创新实行 “路长制”管理，整改问题1332宗，整改率达100% ；大力整治黄土裸露、道路扬尘、渣土撒落，黄土复绿2.7万平米，复绿率100%，垃圾密闭率达90%以上，城市精细管理水平日益增强。</w:t>
      </w:r>
      <w:r>
        <w:rPr>
          <w:rFonts w:hint="eastAsia" w:ascii="仿宋" w:hAnsi="仿宋" w:eastAsia="仿宋"/>
          <w:sz w:val="32"/>
          <w:szCs w:val="32"/>
        </w:rPr>
        <w:t xml:space="preserve">全区生活垃圾收运密闭化率达到95%以上，投资2亿多元开展城中村“治疤行动”，对村内建筑立面、道路、绿化、给水管网、环卫设施等进行综合整治，实现“净化、文化、硬化、绿化、美化”提升，皇岗村绿色生态提升工程完工后将申请创建全国中心城区生态示范区。 </w:t>
      </w:r>
    </w:p>
    <w:p>
      <w:pPr>
        <w:autoSpaceDE w:val="0"/>
        <w:autoSpaceDN w:val="0"/>
        <w:spacing w:line="560" w:lineRule="exact"/>
        <w:ind w:firstLine="642" w:firstLineChars="200"/>
        <w:rPr>
          <w:rFonts w:hint="eastAsia" w:ascii="仿宋" w:hAnsi="仿宋" w:eastAsia="仿宋"/>
          <w:b/>
          <w:sz w:val="32"/>
          <w:szCs w:val="32"/>
        </w:rPr>
      </w:pPr>
      <w:r>
        <w:rPr>
          <w:rFonts w:hint="eastAsia" w:ascii="仿宋" w:hAnsi="仿宋" w:eastAsia="仿宋"/>
          <w:b/>
          <w:sz w:val="32"/>
          <w:szCs w:val="32"/>
        </w:rPr>
        <w:t>7、国际化城区建设加快。</w:t>
      </w:r>
    </w:p>
    <w:p>
      <w:pPr>
        <w:spacing w:line="560" w:lineRule="exact"/>
        <w:jc w:val="left"/>
        <w:rPr>
          <w:rFonts w:hint="eastAsia" w:ascii="仿宋" w:hAnsi="仿宋" w:eastAsia="仿宋"/>
          <w:sz w:val="32"/>
          <w:szCs w:val="32"/>
        </w:rPr>
      </w:pPr>
      <w:r>
        <w:rPr>
          <w:rFonts w:hint="eastAsia" w:ascii="仿宋" w:hAnsi="仿宋" w:eastAsia="仿宋"/>
          <w:sz w:val="32"/>
          <w:szCs w:val="32"/>
        </w:rPr>
        <w:t xml:space="preserve">    实施国际化先导城区建设行动计划，推进东海、水围等十个国际化示范街（区）建设；搭建平台在全球范围构建友城网络，与法国伊西莱·莫利诺市和日本长野县饭山市成为国际友城；被世界卫生组织命名为华南地区首个以整个城区为单位的“国际安全社区”；第十一届“文博会”展商数量创新高，福田区共有参展企业1100多家，分会场10家，专项活动20个，总成交金额398.03亿元；举办中国（深圳）第三届国际嘻哈文化节、第六届深圳国际打击乐文化节，分别吸引4000、5000余人次参与；“福田之友”外籍志愿者人数达350人。与国际教育资源网合作，举办10期国际教育公开课。 </w:t>
      </w:r>
    </w:p>
    <w:p>
      <w:pPr>
        <w:autoSpaceDE w:val="0"/>
        <w:autoSpaceDN w:val="0"/>
        <w:spacing w:line="560" w:lineRule="exact"/>
        <w:ind w:firstLine="642" w:firstLineChars="200"/>
        <w:rPr>
          <w:rFonts w:hint="eastAsia" w:ascii="仿宋" w:hAnsi="仿宋" w:eastAsia="仿宋"/>
          <w:b/>
          <w:sz w:val="32"/>
          <w:szCs w:val="32"/>
        </w:rPr>
      </w:pPr>
      <w:r>
        <w:rPr>
          <w:rFonts w:hint="eastAsia" w:ascii="仿宋" w:hAnsi="仿宋" w:eastAsia="仿宋"/>
          <w:b/>
          <w:sz w:val="32"/>
          <w:szCs w:val="32"/>
        </w:rPr>
        <w:t>8、深化改革深入推进。</w:t>
      </w:r>
    </w:p>
    <w:p>
      <w:pPr>
        <w:autoSpaceDE w:val="0"/>
        <w:autoSpaceDN w:val="0"/>
        <w:spacing w:line="560" w:lineRule="exact"/>
        <w:ind w:firstLine="642" w:firstLineChars="200"/>
        <w:rPr>
          <w:rFonts w:hint="eastAsia" w:ascii="仿宋" w:hAnsi="仿宋" w:eastAsia="仿宋"/>
          <w:color w:val="000000"/>
          <w:sz w:val="32"/>
          <w:szCs w:val="32"/>
        </w:rPr>
      </w:pPr>
      <w:r>
        <w:rPr>
          <w:rFonts w:hint="eastAsia" w:ascii="仿宋" w:hAnsi="仿宋" w:eastAsia="仿宋"/>
          <w:b/>
          <w:bCs/>
          <w:color w:val="000000"/>
          <w:sz w:val="32"/>
          <w:szCs w:val="32"/>
        </w:rPr>
        <w:t>医疗、教育、公共文化等方面，</w:t>
      </w:r>
      <w:r>
        <w:rPr>
          <w:rFonts w:hint="eastAsia" w:ascii="仿宋" w:hAnsi="仿宋" w:eastAsia="仿宋"/>
          <w:color w:val="000000"/>
          <w:sz w:val="32"/>
          <w:szCs w:val="32"/>
        </w:rPr>
        <w:t>率先在全市组建首家医疗联合体，初步搭建分级诊疗框架，率先在全省组建区级多学科质控中心；与广州中医药大学合作，以理事会形式共建广州中医药大学深圳医院，与中山大学合作共建中山大学深圳医院，成立红岭教育集团，建立以校长负责制为主的法人治理结构；成立全国首个区级“文化议事会”，被文化部确定为全国文化体制改革发展调研联系点；</w:t>
      </w:r>
      <w:r>
        <w:rPr>
          <w:rFonts w:hint="eastAsia" w:ascii="仿宋" w:hAnsi="仿宋" w:eastAsia="仿宋"/>
          <w:b/>
          <w:bCs/>
          <w:color w:val="000000"/>
          <w:sz w:val="32"/>
          <w:szCs w:val="32"/>
        </w:rPr>
        <w:t>行政管理方面，</w:t>
      </w:r>
      <w:r>
        <w:rPr>
          <w:rFonts w:hint="eastAsia" w:ascii="仿宋" w:hAnsi="仿宋" w:eastAsia="仿宋"/>
          <w:color w:val="000000"/>
          <w:sz w:val="32"/>
          <w:szCs w:val="32"/>
        </w:rPr>
        <w:t>创新基层行政执法体制改革，探索城管领域综合执法，建立全区执法联动机制、综合执法平台以及城市综合管理执法资格制度；</w:t>
      </w:r>
      <w:r>
        <w:rPr>
          <w:rFonts w:hint="eastAsia" w:ascii="仿宋" w:hAnsi="仿宋" w:eastAsia="仿宋"/>
          <w:b/>
          <w:bCs/>
          <w:color w:val="000000"/>
          <w:sz w:val="32"/>
          <w:szCs w:val="32"/>
        </w:rPr>
        <w:t>经济领域方面，</w:t>
      </w:r>
      <w:r>
        <w:rPr>
          <w:rFonts w:hint="eastAsia" w:ascii="仿宋" w:hAnsi="仿宋" w:eastAsia="仿宋"/>
          <w:color w:val="000000"/>
          <w:sz w:val="32"/>
          <w:szCs w:val="32"/>
        </w:rPr>
        <w:t>开展产业发展资金运行机制改革，筹建福田引导基金公司，预算规模达25亿元，设立福田松禾新能股权投资基金，修订完善多项基金管理相关制度，</w:t>
      </w:r>
      <w:r>
        <w:rPr>
          <w:rFonts w:hint="eastAsia" w:ascii="仿宋" w:hAnsi="仿宋" w:eastAsia="仿宋"/>
          <w:sz w:val="32"/>
          <w:szCs w:val="32"/>
        </w:rPr>
        <w:t>围绕“国家知识产权服务业集聚发展试验区”建设，新增多项针对知识产权服务业的扶持政策；</w:t>
      </w:r>
      <w:r>
        <w:rPr>
          <w:rFonts w:hint="eastAsia" w:ascii="仿宋" w:hAnsi="仿宋" w:eastAsia="仿宋"/>
          <w:b/>
          <w:bCs/>
          <w:color w:val="000000"/>
          <w:sz w:val="32"/>
          <w:szCs w:val="32"/>
        </w:rPr>
        <w:t>社区治理方面，</w:t>
      </w:r>
      <w:r>
        <w:rPr>
          <w:rFonts w:hint="eastAsia" w:ascii="仿宋" w:hAnsi="仿宋" w:eastAsia="仿宋"/>
          <w:color w:val="000000"/>
          <w:sz w:val="32"/>
          <w:szCs w:val="32"/>
        </w:rPr>
        <w:t>修订出台《福田区“民生微实事”项目工作指引》，全年征集居民群众身边的惠民小项目1100多个，其中80%以上可通过“三议三公开”的民主程序得到快速解决落实，激发了居民群众的参与热情，在全市推广。益田社区服务中心枢纽型、多元化、联动式运营模式获国务院副总理刘延东高度肯定，相关经验在中央新闻推介。</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与此同时，我区经济社会发展仍存在诸多挑战：经济下行压力较大，必须更加注重质量和速度的同步提升；自主创新能力不足、新兴产业的增长引擎作用较弱，必须更加注重新业态、新技术的培育；公共产品和公共服务的覆盖面和水平仍需不断提高，交通、环保、社会治安、安全生产和公共管理等方面与国际化先进城市差距较大，这些都需要我们在今后的工作中积极应对，努力加以解决。</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二、发展环境</w:t>
      </w:r>
    </w:p>
    <w:p>
      <w:pPr>
        <w:spacing w:line="560" w:lineRule="exact"/>
        <w:ind w:firstLine="642" w:firstLineChars="200"/>
        <w:rPr>
          <w:rFonts w:hint="eastAsia" w:ascii="仿宋" w:hAnsi="仿宋" w:eastAsia="仿宋"/>
          <w:sz w:val="32"/>
          <w:szCs w:val="32"/>
        </w:rPr>
      </w:pPr>
      <w:r>
        <w:rPr>
          <w:rFonts w:hint="eastAsia" w:ascii="仿宋" w:hAnsi="仿宋" w:eastAsia="仿宋"/>
          <w:b/>
          <w:bCs/>
          <w:sz w:val="32"/>
          <w:szCs w:val="32"/>
        </w:rPr>
        <w:t>国际环境。</w:t>
      </w:r>
      <w:r>
        <w:rPr>
          <w:rFonts w:hint="eastAsia" w:ascii="仿宋" w:hAnsi="仿宋" w:eastAsia="仿宋"/>
          <w:sz w:val="32"/>
          <w:szCs w:val="32"/>
        </w:rPr>
        <w:t>2016年全球经济仍将延续温和低速增长态势，但国际经济环境依然复杂多变。国际货币基金组织预测2016年全球经济增长3.8%。美国经济继续复苏，欧元区经济略有改善，德国、法国等主要经济体低速增长，日本经济陷入低谷，新兴经济体增长总体放缓，俄罗斯、巴西等国经济将继续衰退。美元加息、TPP协定达成一致对中国经济构成一定冲击、TTIP谈判提速加快重构全球贸易格局。大宗商品价格低位、地缘政治冲突、新型恐怖主义、难民危机等影响全球经济稳定复苏。</w:t>
      </w:r>
    </w:p>
    <w:p>
      <w:pPr>
        <w:spacing w:line="560" w:lineRule="exact"/>
        <w:ind w:firstLine="642" w:firstLineChars="200"/>
        <w:rPr>
          <w:rFonts w:hint="eastAsia" w:ascii="仿宋" w:hAnsi="仿宋" w:eastAsia="仿宋"/>
          <w:sz w:val="32"/>
          <w:szCs w:val="32"/>
        </w:rPr>
      </w:pPr>
      <w:r>
        <w:rPr>
          <w:rFonts w:hint="eastAsia" w:ascii="仿宋" w:hAnsi="仿宋" w:eastAsia="仿宋"/>
          <w:b/>
          <w:bCs/>
          <w:sz w:val="32"/>
          <w:szCs w:val="32"/>
        </w:rPr>
        <w:t>国内环境。</w:t>
      </w:r>
      <w:r>
        <w:rPr>
          <w:rFonts w:hint="eastAsia" w:ascii="仿宋" w:hAnsi="仿宋" w:eastAsia="仿宋"/>
          <w:sz w:val="32"/>
          <w:szCs w:val="32"/>
        </w:rPr>
        <w:t>虽面临粗放式发展转型、部分行业产能过剩严重、企业效益下滑、通缩风险加剧等问题，但于近期召开的中央经济工作会议已明确提出</w:t>
      </w:r>
      <w:r>
        <w:rPr>
          <w:rFonts w:hint="eastAsia" w:ascii="仿宋" w:hAnsi="仿宋" w:eastAsia="仿宋"/>
          <w:sz w:val="32"/>
          <w:szCs w:val="32"/>
          <w:lang w:val="en-US" w:eastAsia="zh-CN"/>
        </w:rPr>
        <w:t>2016年</w:t>
      </w:r>
      <w:r>
        <w:rPr>
          <w:rFonts w:hint="eastAsia" w:ascii="仿宋" w:hAnsi="仿宋" w:eastAsia="仿宋"/>
          <w:sz w:val="32"/>
          <w:szCs w:val="32"/>
        </w:rPr>
        <w:t>中国经济的五大任务：去产能、去库存、去杠杆、降成本、补短板，保障2016年稳增长、调结构与促改革目标达成，同日</w:t>
      </w:r>
      <w:r>
        <w:rPr>
          <w:rFonts w:hint="eastAsia" w:ascii="仿宋" w:hAnsi="仿宋" w:eastAsia="仿宋"/>
          <w:sz w:val="32"/>
          <w:szCs w:val="32"/>
          <w:lang w:eastAsia="zh-CN"/>
        </w:rPr>
        <w:t>召</w:t>
      </w:r>
      <w:r>
        <w:rPr>
          <w:rFonts w:hint="eastAsia" w:ascii="仿宋" w:hAnsi="仿宋" w:eastAsia="仿宋"/>
          <w:sz w:val="32"/>
          <w:szCs w:val="32"/>
        </w:rPr>
        <w:t>开的中央城市工作会议强调统筹“建设”与“管理”两端要素环节，推动城市发展由外延扩张式向内涵提升式转变，全面提高城市管理水平与城市宜居性，增强城市持续发展能力。宏观政策持续宽松促进供给侧结构性改革, “一带一路”和自由贸易区等战略实施拓展发展新空间，“中国制造2025”、“互联网+”行动计划等战略部署加快转型升级步伐，基础设施、特色优势产业、基本公共服务体系建设等方面存在巨大市场需求等一系列针对性措施，都将确保我国长期向好基本面牢固，仍处于大有作为的重要战略机遇期。</w:t>
      </w:r>
    </w:p>
    <w:p>
      <w:pPr>
        <w:spacing w:line="560" w:lineRule="exact"/>
        <w:ind w:firstLine="642" w:firstLineChars="200"/>
        <w:rPr>
          <w:rFonts w:hint="eastAsia" w:ascii="仿宋" w:hAnsi="仿宋" w:eastAsia="仿宋"/>
          <w:sz w:val="32"/>
          <w:szCs w:val="32"/>
        </w:rPr>
      </w:pPr>
      <w:r>
        <w:rPr>
          <w:rFonts w:hint="eastAsia" w:ascii="仿宋" w:hAnsi="仿宋" w:eastAsia="仿宋"/>
          <w:b/>
          <w:bCs/>
          <w:sz w:val="32"/>
          <w:szCs w:val="32"/>
        </w:rPr>
        <w:t>深圳环境。</w:t>
      </w:r>
      <w:r>
        <w:rPr>
          <w:rFonts w:hint="eastAsia" w:ascii="仿宋" w:hAnsi="仿宋" w:eastAsia="仿宋"/>
          <w:sz w:val="32"/>
          <w:szCs w:val="32"/>
        </w:rPr>
        <w:t>深圳将进入以质量效益为中心的平稳可持续增长期。创新型经济增强发展后劲，战略性新兴产业、未来产业发展加快，传统优势产业有序转型；改革释放活力，形成一批可复制、可推广的制度成果；全方位开放合作开辟发展新空间，前海蛇口自贸片区建设、珠三角一体化等不断深化，湾区经济集聚辐射功能持续增强，特区、湾区、自贸区的叠加优势将充分彰显。</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三、主要目标</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综合考虑国内外形势和我区发展实际，提出2016年经济社会发展主要目标如下：</w:t>
      </w:r>
    </w:p>
    <w:p>
      <w:pPr>
        <w:spacing w:line="560" w:lineRule="exact"/>
        <w:ind w:firstLine="321" w:firstLineChars="100"/>
        <w:jc w:val="left"/>
        <w:rPr>
          <w:rFonts w:hint="eastAsia" w:ascii="仿宋" w:hAnsi="仿宋" w:eastAsia="仿宋"/>
          <w:b/>
          <w:sz w:val="32"/>
          <w:szCs w:val="32"/>
        </w:rPr>
      </w:pPr>
      <w:r>
        <w:rPr>
          <w:rFonts w:hint="eastAsia" w:ascii="仿宋" w:hAnsi="仿宋" w:eastAsia="仿宋"/>
          <w:b/>
          <w:sz w:val="32"/>
          <w:szCs w:val="32"/>
        </w:rPr>
        <w:t>（一）预期性指标</w:t>
      </w:r>
    </w:p>
    <w:p>
      <w:pPr>
        <w:spacing w:line="560" w:lineRule="exact"/>
        <w:ind w:firstLine="425" w:firstLineChars="138"/>
        <w:jc w:val="left"/>
        <w:rPr>
          <w:rFonts w:hint="eastAsia" w:ascii="仿宋" w:hAnsi="仿宋" w:eastAsia="仿宋" w:cs="方正小标宋_GBK"/>
          <w:color w:val="000000"/>
          <w:spacing w:val="-6"/>
          <w:sz w:val="32"/>
          <w:szCs w:val="32"/>
        </w:rPr>
      </w:pPr>
      <w:r>
        <w:rPr>
          <w:rFonts w:hint="eastAsia" w:ascii="仿宋" w:hAnsi="仿宋" w:eastAsia="仿宋" w:cs="方正小标宋_GBK"/>
          <w:color w:val="000000"/>
          <w:spacing w:val="-6"/>
          <w:sz w:val="32"/>
          <w:szCs w:val="32"/>
        </w:rPr>
        <w:t>——本区生产总值增长8.2</w:t>
      </w:r>
      <w:r>
        <w:rPr>
          <w:rFonts w:ascii="仿宋" w:hAnsi="仿宋" w:eastAsia="仿宋" w:cs="方正小标宋_GBK"/>
          <w:color w:val="000000"/>
          <w:spacing w:val="-6"/>
          <w:sz w:val="32"/>
          <w:szCs w:val="32"/>
        </w:rPr>
        <w:t>%</w:t>
      </w:r>
      <w:r>
        <w:rPr>
          <w:rFonts w:hint="eastAsia" w:ascii="仿宋" w:hAnsi="仿宋" w:eastAsia="仿宋" w:cs="方正小标宋_GBK"/>
          <w:color w:val="000000"/>
          <w:spacing w:val="-6"/>
          <w:sz w:val="32"/>
          <w:szCs w:val="32"/>
        </w:rPr>
        <w:t>-8.6%；</w:t>
      </w:r>
    </w:p>
    <w:p>
      <w:pPr>
        <w:spacing w:line="560" w:lineRule="exact"/>
        <w:ind w:firstLine="425" w:firstLineChars="138"/>
        <w:jc w:val="left"/>
        <w:rPr>
          <w:rFonts w:hint="eastAsia" w:ascii="仿宋" w:hAnsi="仿宋" w:eastAsia="仿宋" w:cs="方正小标宋_GBK"/>
          <w:color w:val="000000"/>
          <w:spacing w:val="-6"/>
          <w:sz w:val="32"/>
          <w:szCs w:val="32"/>
        </w:rPr>
      </w:pPr>
      <w:r>
        <w:rPr>
          <w:rFonts w:hint="eastAsia" w:ascii="仿宋" w:hAnsi="仿宋" w:eastAsia="仿宋" w:cs="方正小标宋_GBK"/>
          <w:color w:val="000000"/>
          <w:spacing w:val="-6"/>
          <w:sz w:val="32"/>
          <w:szCs w:val="32"/>
        </w:rPr>
        <w:t>——社会消费品零售总额增长8.5</w:t>
      </w:r>
      <w:r>
        <w:rPr>
          <w:rFonts w:ascii="仿宋" w:hAnsi="仿宋" w:eastAsia="仿宋" w:cs="方正小标宋_GBK"/>
          <w:color w:val="000000"/>
          <w:spacing w:val="-6"/>
          <w:sz w:val="32"/>
          <w:szCs w:val="32"/>
        </w:rPr>
        <w:t>%</w:t>
      </w:r>
      <w:r>
        <w:rPr>
          <w:rFonts w:hint="eastAsia" w:ascii="仿宋" w:hAnsi="仿宋" w:eastAsia="仿宋" w:cs="方正小标宋_GBK"/>
          <w:color w:val="000000"/>
          <w:spacing w:val="-6"/>
          <w:sz w:val="32"/>
          <w:szCs w:val="32"/>
        </w:rPr>
        <w:t>左右；</w:t>
      </w:r>
    </w:p>
    <w:p>
      <w:pPr>
        <w:spacing w:line="560" w:lineRule="exact"/>
        <w:ind w:firstLine="425" w:firstLineChars="138"/>
        <w:jc w:val="left"/>
        <w:rPr>
          <w:rFonts w:hint="eastAsia" w:ascii="仿宋" w:hAnsi="仿宋" w:eastAsia="仿宋" w:cs="方正小标宋_GBK"/>
          <w:color w:val="000000"/>
          <w:spacing w:val="-6"/>
          <w:sz w:val="32"/>
          <w:szCs w:val="32"/>
        </w:rPr>
      </w:pPr>
      <w:r>
        <w:rPr>
          <w:rFonts w:hint="eastAsia" w:ascii="仿宋" w:hAnsi="仿宋" w:eastAsia="仿宋" w:cs="方正小标宋_GBK"/>
          <w:color w:val="000000"/>
          <w:spacing w:val="-6"/>
          <w:sz w:val="32"/>
          <w:szCs w:val="32"/>
        </w:rPr>
        <w:t>——固定资产投资额增长15%左右；</w:t>
      </w:r>
    </w:p>
    <w:p>
      <w:pPr>
        <w:spacing w:line="560" w:lineRule="exact"/>
        <w:ind w:firstLine="425" w:firstLineChars="138"/>
        <w:jc w:val="left"/>
        <w:rPr>
          <w:rFonts w:hint="eastAsia" w:ascii="仿宋" w:hAnsi="仿宋" w:eastAsia="仿宋" w:cs="方正小标宋_GBK"/>
          <w:color w:val="000000"/>
          <w:spacing w:val="-6"/>
          <w:sz w:val="32"/>
          <w:szCs w:val="32"/>
          <w:highlight w:val="yellow"/>
        </w:rPr>
      </w:pPr>
      <w:r>
        <w:rPr>
          <w:rFonts w:hint="eastAsia" w:ascii="仿宋" w:hAnsi="仿宋" w:eastAsia="仿宋" w:cs="方正小标宋_GBK"/>
          <w:color w:val="000000"/>
          <w:spacing w:val="-6"/>
          <w:sz w:val="32"/>
          <w:szCs w:val="32"/>
        </w:rPr>
        <w:t>——进出口总额增长3%；</w:t>
      </w:r>
    </w:p>
    <w:p>
      <w:pPr>
        <w:spacing w:line="560" w:lineRule="exact"/>
        <w:ind w:firstLine="425" w:firstLineChars="138"/>
        <w:jc w:val="left"/>
        <w:rPr>
          <w:rFonts w:hint="eastAsia" w:ascii="仿宋" w:hAnsi="仿宋" w:eastAsia="仿宋" w:cs="方正小标宋_GBK"/>
          <w:color w:val="000000"/>
          <w:spacing w:val="-6"/>
          <w:sz w:val="32"/>
          <w:szCs w:val="32"/>
        </w:rPr>
      </w:pPr>
      <w:r>
        <w:rPr>
          <w:rFonts w:hint="eastAsia" w:ascii="仿宋" w:hAnsi="仿宋" w:eastAsia="仿宋" w:cs="方正小标宋_GBK"/>
          <w:color w:val="000000"/>
          <w:spacing w:val="-6"/>
          <w:sz w:val="32"/>
          <w:szCs w:val="32"/>
        </w:rPr>
        <w:t>——一般公共预算收入增长6%。</w:t>
      </w:r>
    </w:p>
    <w:p>
      <w:pPr>
        <w:spacing w:line="560" w:lineRule="exact"/>
        <w:ind w:firstLine="282" w:firstLineChars="88"/>
        <w:jc w:val="left"/>
        <w:rPr>
          <w:rFonts w:hint="eastAsia" w:ascii="仿宋" w:hAnsi="仿宋" w:eastAsia="仿宋"/>
          <w:b/>
          <w:sz w:val="32"/>
          <w:szCs w:val="32"/>
        </w:rPr>
      </w:pPr>
      <w:r>
        <w:rPr>
          <w:rFonts w:hint="eastAsia" w:ascii="仿宋" w:hAnsi="仿宋" w:eastAsia="仿宋"/>
          <w:b/>
          <w:sz w:val="32"/>
          <w:szCs w:val="32"/>
        </w:rPr>
        <w:t>（二）约束性指标</w:t>
      </w:r>
    </w:p>
    <w:p>
      <w:pPr>
        <w:spacing w:line="560" w:lineRule="exact"/>
        <w:ind w:firstLine="425" w:firstLineChars="138"/>
        <w:jc w:val="left"/>
        <w:rPr>
          <w:rFonts w:hint="eastAsia" w:ascii="仿宋" w:hAnsi="仿宋" w:eastAsia="仿宋"/>
          <w:sz w:val="32"/>
          <w:szCs w:val="32"/>
        </w:rPr>
      </w:pPr>
      <w:r>
        <w:rPr>
          <w:rFonts w:hint="eastAsia" w:ascii="仿宋" w:hAnsi="仿宋" w:eastAsia="仿宋" w:cs="方正小标宋_GBK"/>
          <w:spacing w:val="-6"/>
          <w:sz w:val="32"/>
          <w:szCs w:val="32"/>
        </w:rPr>
        <w:t>——</w:t>
      </w:r>
      <w:r>
        <w:rPr>
          <w:rFonts w:hint="eastAsia" w:ascii="仿宋" w:hAnsi="仿宋" w:eastAsia="仿宋"/>
          <w:sz w:val="32"/>
          <w:szCs w:val="32"/>
        </w:rPr>
        <w:t>城镇居民登记失业率控制在3%以内；</w:t>
      </w:r>
    </w:p>
    <w:p>
      <w:pPr>
        <w:spacing w:line="560" w:lineRule="exact"/>
        <w:ind w:firstLine="425" w:firstLineChars="138"/>
        <w:jc w:val="left"/>
        <w:rPr>
          <w:rFonts w:hint="eastAsia" w:ascii="仿宋" w:hAnsi="仿宋" w:eastAsia="仿宋"/>
          <w:sz w:val="32"/>
          <w:szCs w:val="32"/>
        </w:rPr>
      </w:pPr>
      <w:r>
        <w:rPr>
          <w:rFonts w:hint="eastAsia" w:ascii="仿宋" w:hAnsi="仿宋" w:eastAsia="仿宋" w:cs="方正小标宋_GBK"/>
          <w:spacing w:val="-6"/>
          <w:sz w:val="32"/>
          <w:szCs w:val="32"/>
        </w:rPr>
        <w:t>——</w:t>
      </w:r>
      <w:r>
        <w:rPr>
          <w:rFonts w:hint="eastAsia" w:ascii="仿宋" w:hAnsi="仿宋" w:eastAsia="仿宋"/>
          <w:sz w:val="32"/>
          <w:szCs w:val="32"/>
        </w:rPr>
        <w:t>万元GDP建设用地下降7%以上；</w:t>
      </w:r>
    </w:p>
    <w:p>
      <w:pPr>
        <w:spacing w:line="560" w:lineRule="exact"/>
        <w:ind w:firstLine="425" w:firstLineChars="138"/>
        <w:jc w:val="left"/>
        <w:rPr>
          <w:rFonts w:hint="eastAsia" w:ascii="仿宋" w:hAnsi="仿宋" w:eastAsia="仿宋"/>
          <w:sz w:val="32"/>
          <w:szCs w:val="32"/>
        </w:rPr>
      </w:pPr>
      <w:r>
        <w:rPr>
          <w:rFonts w:hint="eastAsia" w:ascii="仿宋" w:hAnsi="仿宋" w:eastAsia="仿宋" w:cs="方正小标宋_GBK"/>
          <w:spacing w:val="-6"/>
          <w:sz w:val="32"/>
          <w:szCs w:val="32"/>
        </w:rPr>
        <w:t>——</w:t>
      </w:r>
      <w:r>
        <w:rPr>
          <w:rFonts w:hint="eastAsia" w:ascii="仿宋" w:hAnsi="仿宋" w:eastAsia="仿宋"/>
          <w:sz w:val="32"/>
          <w:szCs w:val="32"/>
        </w:rPr>
        <w:t>万元GDP水耗下降2%以上；</w:t>
      </w:r>
    </w:p>
    <w:p>
      <w:pPr>
        <w:spacing w:line="560" w:lineRule="exact"/>
        <w:ind w:firstLine="425" w:firstLineChars="138"/>
        <w:jc w:val="left"/>
        <w:rPr>
          <w:rFonts w:hint="eastAsia" w:ascii="仿宋" w:hAnsi="仿宋" w:eastAsia="仿宋"/>
          <w:sz w:val="32"/>
          <w:szCs w:val="32"/>
        </w:rPr>
      </w:pPr>
      <w:r>
        <w:rPr>
          <w:rFonts w:hint="eastAsia" w:ascii="仿宋" w:hAnsi="仿宋" w:eastAsia="仿宋" w:cs="方正小标宋_GBK"/>
          <w:spacing w:val="-6"/>
          <w:sz w:val="32"/>
          <w:szCs w:val="32"/>
        </w:rPr>
        <w:t>——</w:t>
      </w:r>
      <w:r>
        <w:rPr>
          <w:rFonts w:hint="eastAsia" w:ascii="仿宋" w:hAnsi="仿宋" w:eastAsia="仿宋"/>
          <w:sz w:val="32"/>
          <w:szCs w:val="32"/>
        </w:rPr>
        <w:t>万元GDP电耗下降2%以上。</w:t>
      </w:r>
    </w:p>
    <w:p>
      <w:pPr>
        <w:autoSpaceDE w:val="0"/>
        <w:autoSpaceDN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四、主要任务</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在“十三五”规划实施的开局之年，发挥规划对辖区经济和社会发展的引导作用，细化具体工作举措，为规划打好开局基础。</w:t>
      </w:r>
    </w:p>
    <w:p>
      <w:pPr>
        <w:spacing w:line="560" w:lineRule="exact"/>
        <w:ind w:firstLine="282" w:firstLineChars="88"/>
        <w:rPr>
          <w:rFonts w:hint="eastAsia" w:ascii="仿宋" w:hAnsi="仿宋" w:eastAsia="仿宋"/>
          <w:b/>
          <w:bCs/>
          <w:sz w:val="32"/>
          <w:szCs w:val="32"/>
        </w:rPr>
      </w:pPr>
      <w:r>
        <w:rPr>
          <w:rFonts w:hint="eastAsia" w:ascii="仿宋" w:hAnsi="仿宋" w:eastAsia="仿宋"/>
          <w:b/>
          <w:bCs/>
          <w:sz w:val="32"/>
          <w:szCs w:val="32"/>
        </w:rPr>
        <w:t xml:space="preserve"> （一）注重内外需均衡发力，确保经济质量型稳定增长</w:t>
      </w:r>
    </w:p>
    <w:p>
      <w:pPr>
        <w:spacing w:line="560" w:lineRule="exact"/>
        <w:ind w:firstLine="565" w:firstLineChars="176"/>
        <w:rPr>
          <w:rFonts w:hint="eastAsia" w:ascii="仿宋" w:hAnsi="仿宋" w:eastAsia="仿宋"/>
          <w:b/>
          <w:bCs/>
          <w:sz w:val="32"/>
          <w:szCs w:val="32"/>
        </w:rPr>
      </w:pPr>
      <w:r>
        <w:rPr>
          <w:rFonts w:hint="eastAsia" w:ascii="仿宋" w:hAnsi="仿宋" w:eastAsia="仿宋"/>
          <w:b/>
          <w:bCs/>
          <w:sz w:val="32"/>
          <w:szCs w:val="32"/>
        </w:rPr>
        <w:t>一是狠抓项目投资建设。</w:t>
      </w:r>
      <w:r>
        <w:rPr>
          <w:rFonts w:hint="eastAsia" w:ascii="仿宋" w:hAnsi="仿宋" w:eastAsia="仿宋"/>
          <w:bCs/>
          <w:sz w:val="32"/>
          <w:szCs w:val="32"/>
        </w:rPr>
        <w:t>以重大项目建设为抓手，增强投资乘数效应。</w:t>
      </w:r>
      <w:r>
        <w:rPr>
          <w:rFonts w:hint="eastAsia" w:ascii="仿宋" w:hAnsi="仿宋" w:eastAsia="仿宋"/>
          <w:sz w:val="32"/>
          <w:szCs w:val="32"/>
        </w:rPr>
        <w:t>抓紧梳理启动一批“十三五”规划确定的重大项目，如</w:t>
      </w:r>
      <w:r>
        <w:rPr>
          <w:rFonts w:hint="eastAsia" w:ascii="仿宋_GB2312" w:eastAsia="仿宋_GB2312"/>
          <w:sz w:val="32"/>
          <w:szCs w:val="32"/>
        </w:rPr>
        <w:t>安托山文化公园建设项目、福田污水厂生态补水工程、雨洪综合利用工程、香蜜公园等项目</w:t>
      </w:r>
      <w:r>
        <w:rPr>
          <w:rFonts w:hint="eastAsia" w:ascii="仿宋" w:hAnsi="仿宋" w:eastAsia="仿宋"/>
          <w:sz w:val="32"/>
          <w:szCs w:val="32"/>
        </w:rPr>
        <w:t>，加快做好前期工作。推进福田保税区、梅林重点区域绿化、交通、生活等基础设施配套建设，进一步优化福田区政府投资项目管理程序和政府采购规定，提质增效推进投资项目建设，2016年我区政府投资重大项目计划共安排48个项目，其中建设项目43个，总投资861100万元，做好市区重大项目如赛格日立工业区升级改造、平安金融中心、深圳建行大厦、基金大厦及大型房地产开发项目协调服务工作，确保市区重大项目投资完成110亿以上，形成固定资产投资对经济发展较强支撑保障。二</w:t>
      </w:r>
      <w:r>
        <w:rPr>
          <w:rFonts w:hint="eastAsia" w:ascii="仿宋" w:hAnsi="仿宋" w:eastAsia="仿宋"/>
          <w:b/>
          <w:bCs/>
          <w:sz w:val="32"/>
          <w:szCs w:val="32"/>
        </w:rPr>
        <w:t>是千方百计提振消费。</w:t>
      </w:r>
      <w:r>
        <w:rPr>
          <w:rFonts w:hint="eastAsia" w:ascii="仿宋" w:hAnsi="仿宋" w:eastAsia="仿宋"/>
          <w:sz w:val="32"/>
          <w:szCs w:val="32"/>
        </w:rPr>
        <w:t>探索供给侧结构性改革，加强市场管理提升消费品质量；引导培育居民新消费热点，集中开展各种形式的商业促销活动，提倡健康消费、科学消费，激发消费多样化，鼓励民众通过信贷提前消费；引进国内外高端时尚品牌产品，发展购物中心、百货店、专卖店等零售业态，推进商圈朝高端化、集聚化</w:t>
      </w:r>
      <w:r>
        <w:rPr>
          <w:rFonts w:hint="eastAsia" w:ascii="仿宋" w:hAnsi="仿宋" w:eastAsia="仿宋"/>
          <w:sz w:val="32"/>
          <w:szCs w:val="32"/>
          <w:lang w:eastAsia="zh-CN"/>
        </w:rPr>
        <w:t>发展</w:t>
      </w:r>
      <w:r>
        <w:rPr>
          <w:rFonts w:hint="eastAsia" w:ascii="仿宋" w:hAnsi="仿宋" w:eastAsia="仿宋"/>
          <w:sz w:val="32"/>
          <w:szCs w:val="32"/>
        </w:rPr>
        <w:t>，提升华强北商圈，打造“全球智能硬件集散基地和创客中心”，提升天安、泰然、上沙、下沙、金地高科技配套商圈，促进高新技术产品的推广与销售；积极打造华强北电子商务平台等，以信息消费带动传统商业改造升级。</w:t>
      </w:r>
      <w:r>
        <w:rPr>
          <w:rFonts w:hint="eastAsia" w:ascii="仿宋" w:hAnsi="仿宋" w:eastAsia="仿宋"/>
          <w:b/>
          <w:bCs/>
          <w:sz w:val="32"/>
          <w:szCs w:val="32"/>
        </w:rPr>
        <w:t>三是提升外贸辐射影响力。</w:t>
      </w:r>
      <w:r>
        <w:rPr>
          <w:rFonts w:hint="eastAsia" w:ascii="仿宋" w:hAnsi="仿宋" w:eastAsia="仿宋"/>
          <w:sz w:val="32"/>
          <w:szCs w:val="32"/>
        </w:rPr>
        <w:t>贯彻国家“一带一路”</w:t>
      </w:r>
      <w:r>
        <w:rPr>
          <w:rFonts w:hint="eastAsia" w:ascii="仿宋" w:hAnsi="仿宋" w:eastAsia="仿宋"/>
          <w:sz w:val="32"/>
          <w:szCs w:val="32"/>
          <w:lang w:val="en-US" w:eastAsia="zh-CN"/>
        </w:rPr>
        <w:t>倡议</w:t>
      </w:r>
      <w:r>
        <w:rPr>
          <w:rFonts w:hint="eastAsia" w:ascii="仿宋" w:hAnsi="仿宋" w:eastAsia="仿宋"/>
          <w:sz w:val="32"/>
          <w:szCs w:val="32"/>
        </w:rPr>
        <w:t>，助力企业通过参加国际国内专业展览、开展对外投资、服务贸易等多种形式经贸合作，开拓“一带一路”沿线国家进出口合作潜力；举办外贸政策宣讲会，统一为中小微企业购买出口信用保险；促进出口商品结构不断升级，确保机电产品、高新技术产品出口保持较快速度增长；加快福田保税区向综合保税区转型，积极推进福田保税区跨境快消品电商中心建设，重点扶持打造福田保税区跨境电商及物流基地和供应链高端服务集聚基地，增强我区外贸整体竞争力。</w:t>
      </w:r>
    </w:p>
    <w:p>
      <w:pPr>
        <w:spacing w:line="560" w:lineRule="exact"/>
        <w:ind w:firstLine="424" w:firstLineChars="132"/>
        <w:rPr>
          <w:rFonts w:hint="eastAsia" w:ascii="仿宋" w:hAnsi="仿宋" w:eastAsia="仿宋"/>
          <w:b/>
          <w:bCs/>
          <w:sz w:val="32"/>
          <w:szCs w:val="32"/>
        </w:rPr>
      </w:pPr>
      <w:r>
        <w:rPr>
          <w:rFonts w:hint="eastAsia" w:ascii="仿宋" w:hAnsi="仿宋" w:eastAsia="仿宋"/>
          <w:b/>
          <w:bCs/>
          <w:sz w:val="32"/>
          <w:szCs w:val="32"/>
        </w:rPr>
        <w:t>（二）强化主导产业支撑功能，促进经济向集聚高端转型</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以高端集聚为导向，进一步增强我区经济内生增长动力和抗风险能力，促进各主导产业对经济发展的支撑作用。</w:t>
      </w:r>
      <w:r>
        <w:rPr>
          <w:rFonts w:hint="eastAsia" w:ascii="仿宋" w:hAnsi="仿宋" w:eastAsia="仿宋"/>
          <w:b/>
          <w:bCs/>
          <w:sz w:val="32"/>
          <w:szCs w:val="32"/>
        </w:rPr>
        <w:t>一是金融总部功能加快集聚。</w:t>
      </w:r>
      <w:r>
        <w:rPr>
          <w:rFonts w:hint="eastAsia" w:ascii="仿宋" w:hAnsi="仿宋" w:eastAsia="仿宋"/>
          <w:sz w:val="32"/>
          <w:szCs w:val="32"/>
        </w:rPr>
        <w:t>利用“深港通”开通、股票发行注册制改革以及新三板挂牌企业转板制度引入契机，依托招商银行深圳分行大厦、中信银行大厦、平安金融中心等竣工项目，开展定向招商选商工作，引进一批国内外知名金融企业尤其是创新金融领域、特色金融领域的国内领军金融企业总部，并加大对各类总部企业的服务力度，加强对金融创新风险防范。</w:t>
      </w:r>
      <w:r>
        <w:rPr>
          <w:rFonts w:hint="eastAsia" w:ascii="仿宋" w:hAnsi="仿宋" w:eastAsia="仿宋"/>
          <w:sz w:val="32"/>
          <w:szCs w:val="32"/>
          <w:lang w:eastAsia="zh-CN"/>
        </w:rPr>
        <w:t>预计</w:t>
      </w:r>
      <w:r>
        <w:rPr>
          <w:rFonts w:hint="eastAsia" w:ascii="仿宋" w:hAnsi="仿宋" w:eastAsia="仿宋"/>
          <w:sz w:val="32"/>
          <w:szCs w:val="32"/>
        </w:rPr>
        <w:t>2016年福田金融业增加值达到1243亿元规模，金融业增加值占GDP比重达34.8%，仍是拉动经济增长的主动力。</w:t>
      </w:r>
      <w:r>
        <w:rPr>
          <w:rFonts w:hint="eastAsia" w:ascii="仿宋" w:hAnsi="仿宋" w:eastAsia="仿宋"/>
          <w:b/>
          <w:bCs/>
          <w:sz w:val="32"/>
          <w:szCs w:val="32"/>
        </w:rPr>
        <w:t>二是培育高端专业服务业。</w:t>
      </w:r>
      <w:r>
        <w:rPr>
          <w:rFonts w:hint="eastAsia" w:ascii="仿宋" w:hAnsi="仿宋" w:eastAsia="仿宋"/>
          <w:sz w:val="32"/>
          <w:szCs w:val="32"/>
        </w:rPr>
        <w:t>积极承接香港等服务业转移，吸引更多国际大型服务企业落户福田，鼓励专业服务业机构及其分支代理机构入驻。筹建专业服务交易中心，为辖区企业提供财务、会计、法律、审计等专业服务一站式解决方案。开通专业服务业政务绿色通道，研究制定专业服务业精准扶持政策。</w:t>
      </w:r>
      <w:r>
        <w:rPr>
          <w:rFonts w:hint="eastAsia" w:ascii="仿宋" w:hAnsi="仿宋" w:eastAsia="仿宋"/>
          <w:b/>
          <w:bCs/>
          <w:sz w:val="32"/>
          <w:szCs w:val="32"/>
        </w:rPr>
        <w:t>三是促进现代物流业发展。</w:t>
      </w:r>
      <w:r>
        <w:rPr>
          <w:rFonts w:hint="eastAsia" w:ascii="仿宋" w:hAnsi="仿宋" w:eastAsia="仿宋"/>
          <w:sz w:val="32"/>
          <w:szCs w:val="32"/>
        </w:rPr>
        <w:t>促进包括福田保税区物流基地、皇岗片区现代高端服务业基地、会展中心、八卦岭片区高新技术和供应链高端服务积聚基地发展，积极协调海关创新保税区监管模式，促进贸易投资便利化，依托我区已上市的“飞马国际”、“怡亚通”等供应链龙头企业，形成集聚示范效应，提升我区现代物流辐射影响力。</w:t>
      </w:r>
      <w:r>
        <w:rPr>
          <w:rFonts w:hint="eastAsia" w:ascii="仿宋" w:hAnsi="仿宋" w:eastAsia="仿宋"/>
          <w:b/>
          <w:bCs/>
          <w:sz w:val="32"/>
          <w:szCs w:val="32"/>
        </w:rPr>
        <w:t>四是提高文化创意产业竞争力。</w:t>
      </w:r>
      <w:r>
        <w:rPr>
          <w:rFonts w:hint="eastAsia" w:ascii="仿宋" w:hAnsi="仿宋" w:eastAsia="仿宋"/>
          <w:sz w:val="32"/>
          <w:szCs w:val="32"/>
        </w:rPr>
        <w:t>大力推动深圳创意保税园、吉虹创意设计产业园等项目建设，协调推进世模基地总部大厦、下沙京基滨河时代广场时装设计学院、深业上城时尚产业园等载体建设，形成新时尚商圈。积极推动新媒体广告产业园区二期建设，推动新媒体广告产业的聚集发展，并大力招商引进国际4A广告企业。高标准筹办第十二届文博会福田区活动，助推福田文化创意企业及产品进入海内外市场。</w:t>
      </w:r>
    </w:p>
    <w:p>
      <w:pPr>
        <w:spacing w:line="560" w:lineRule="exact"/>
        <w:ind w:firstLine="282" w:firstLineChars="88"/>
        <w:rPr>
          <w:rFonts w:hint="eastAsia" w:ascii="仿宋" w:hAnsi="仿宋" w:eastAsia="仿宋"/>
          <w:b/>
          <w:bCs/>
          <w:sz w:val="32"/>
          <w:szCs w:val="32"/>
        </w:rPr>
      </w:pPr>
      <w:r>
        <w:rPr>
          <w:rFonts w:hint="eastAsia" w:ascii="仿宋" w:hAnsi="仿宋" w:eastAsia="仿宋"/>
          <w:b/>
          <w:bCs/>
          <w:sz w:val="32"/>
          <w:szCs w:val="32"/>
          <w:lang w:val="en-US" w:eastAsia="zh-CN"/>
        </w:rPr>
        <w:t xml:space="preserve"> </w:t>
      </w:r>
      <w:r>
        <w:rPr>
          <w:rFonts w:hint="eastAsia" w:ascii="仿宋" w:hAnsi="仿宋" w:eastAsia="仿宋"/>
          <w:b/>
          <w:bCs/>
          <w:sz w:val="32"/>
          <w:szCs w:val="32"/>
        </w:rPr>
        <w:t>（三）重点实施四大升级举措，提高辖区综合竞争力</w:t>
      </w:r>
    </w:p>
    <w:p>
      <w:pPr>
        <w:spacing w:line="560" w:lineRule="exact"/>
        <w:ind w:firstLine="282" w:firstLineChars="88"/>
        <w:rPr>
          <w:rFonts w:hint="eastAsia" w:ascii="仿宋" w:hAnsi="仿宋" w:eastAsia="仿宋"/>
          <w:sz w:val="32"/>
          <w:szCs w:val="32"/>
          <w:highlight w:val="yellow"/>
        </w:rPr>
      </w:pPr>
      <w:r>
        <w:rPr>
          <w:rFonts w:hint="eastAsia" w:ascii="仿宋" w:hAnsi="仿宋" w:eastAsia="仿宋"/>
          <w:b/>
          <w:bCs/>
          <w:sz w:val="32"/>
          <w:szCs w:val="32"/>
        </w:rPr>
        <w:t xml:space="preserve">  一是空间再造举措。</w:t>
      </w:r>
      <w:r>
        <w:rPr>
          <w:rFonts w:ascii="仿宋" w:hAnsi="仿宋" w:eastAsia="仿宋"/>
          <w:sz w:val="32"/>
          <w:szCs w:val="32"/>
        </w:rPr>
        <w:t>结合实施“一带一路”建设、</w:t>
      </w:r>
      <w:r>
        <w:rPr>
          <w:rFonts w:hint="eastAsia" w:ascii="仿宋" w:hAnsi="仿宋" w:eastAsia="仿宋"/>
          <w:sz w:val="32"/>
          <w:szCs w:val="32"/>
        </w:rPr>
        <w:t>珠三角全域规划</w:t>
      </w:r>
      <w:r>
        <w:rPr>
          <w:rFonts w:ascii="仿宋" w:hAnsi="仿宋" w:eastAsia="仿宋"/>
          <w:sz w:val="32"/>
          <w:szCs w:val="32"/>
        </w:rPr>
        <w:t>等战略，明确</w:t>
      </w:r>
      <w:r>
        <w:rPr>
          <w:rFonts w:hint="eastAsia" w:ascii="仿宋" w:hAnsi="仿宋" w:eastAsia="仿宋"/>
          <w:sz w:val="32"/>
          <w:szCs w:val="32"/>
        </w:rPr>
        <w:t>各重点片区</w:t>
      </w:r>
      <w:r>
        <w:rPr>
          <w:rFonts w:ascii="仿宋" w:hAnsi="仿宋" w:eastAsia="仿宋"/>
          <w:sz w:val="32"/>
          <w:szCs w:val="32"/>
        </w:rPr>
        <w:t>发展空间布局、功能定位</w:t>
      </w:r>
      <w:r>
        <w:rPr>
          <w:rFonts w:hint="eastAsia" w:ascii="仿宋" w:hAnsi="仿宋" w:eastAsia="仿宋"/>
          <w:sz w:val="32"/>
          <w:szCs w:val="32"/>
        </w:rPr>
        <w:t>，</w:t>
      </w:r>
      <w:r>
        <w:rPr>
          <w:rFonts w:ascii="仿宋" w:hAnsi="仿宋" w:eastAsia="仿宋"/>
          <w:sz w:val="32"/>
          <w:szCs w:val="32"/>
        </w:rPr>
        <w:t>实现紧凑集约高效发展。</w:t>
      </w:r>
      <w:r>
        <w:rPr>
          <w:rFonts w:hint="eastAsia" w:ascii="仿宋" w:hAnsi="仿宋" w:eastAsia="仿宋"/>
          <w:sz w:val="32"/>
          <w:szCs w:val="32"/>
        </w:rPr>
        <w:t>积极推动深南-益田金融街规划落地，推进福田保税区重点片区建设工作，打造对外贸易转型升级示范区；积极推进梅林-彩田片区、香蜜湖深高片区列入重点开发片区相关工作，加快推进旧工业区、城中村改造、重点土地整备项目实施，2016年将新增产业空间127万平方米，其中城市更新提供产业空间70万平方米。</w:t>
      </w:r>
      <w:r>
        <w:rPr>
          <w:rFonts w:hint="eastAsia" w:ascii="仿宋" w:hAnsi="仿宋" w:eastAsia="仿宋"/>
          <w:b/>
          <w:bCs/>
          <w:sz w:val="32"/>
          <w:szCs w:val="32"/>
        </w:rPr>
        <w:t>二是招商引资举措。</w:t>
      </w:r>
      <w:r>
        <w:rPr>
          <w:rFonts w:hint="eastAsia" w:ascii="仿宋" w:hAnsi="仿宋" w:eastAsia="仿宋"/>
          <w:sz w:val="32"/>
          <w:szCs w:val="32"/>
        </w:rPr>
        <w:t>进一步明确招商引资导向，加大和完善政策激励、引导机制开展形式多样的招商引资活动，实施“招商引资顾问”制度，确立重点招商项目和企业，充分利用首都功能疏解契机，大力引进大型央企、大型国企、细分行业总部企业、重点高新技术企业等重大项目；积极推动平安金融中心等15家金融总部的建设与招商工作；积极引入优质高端服务业如与金融创新密切相关的金融法律、财税咨询、信用、评估、人才服务、专业培训等专门专业配套服务机构。</w:t>
      </w:r>
      <w:r>
        <w:rPr>
          <w:rFonts w:hint="eastAsia" w:ascii="仿宋" w:hAnsi="仿宋" w:eastAsia="仿宋"/>
          <w:b/>
          <w:bCs/>
          <w:sz w:val="32"/>
          <w:szCs w:val="32"/>
        </w:rPr>
        <w:t>三是创新发展举措。</w:t>
      </w:r>
      <w:r>
        <w:rPr>
          <w:rFonts w:hint="eastAsia" w:ascii="仿宋" w:hAnsi="仿宋" w:eastAsia="仿宋"/>
          <w:sz w:val="32"/>
          <w:szCs w:val="32"/>
        </w:rPr>
        <w:t>推动创客空间发展，加强对创业苗圃、创客空间等新型孵化器资助，力推新型孵化器转型；支持京东&amp;E港创客空间、深圳海峡两岸创客创业中心和国际微观装配实验室（深圳）暨深圳开放创新实验室等创客中心建设；支持举办如国际智能硬件趋势论坛、开源硬件工作坊和太火鸟孵化智能硬件新品体验会及创客项目路演等系列创客活动。建设福田区知识产权保护服务中心，积极与深交所开展深度合作，依托区创投引导基金建设，打造创投融资平台，加速战略性新兴产业的发展。2016年，每万人发明专利拥有量达30件以上，国家级高新技术企业达600家，创客空间达到6个。</w:t>
      </w:r>
      <w:r>
        <w:rPr>
          <w:rFonts w:hint="eastAsia" w:ascii="仿宋" w:hAnsi="仿宋" w:eastAsia="仿宋"/>
          <w:b/>
          <w:bCs/>
          <w:sz w:val="32"/>
          <w:szCs w:val="32"/>
        </w:rPr>
        <w:t>四是精准服务举措。</w:t>
      </w:r>
      <w:r>
        <w:rPr>
          <w:rFonts w:hint="eastAsia" w:ascii="仿宋" w:hAnsi="仿宋" w:eastAsia="仿宋"/>
          <w:sz w:val="32"/>
          <w:szCs w:val="32"/>
        </w:rPr>
        <w:t>启动更多创投基金，弥补产业资金对创新型起步阶段企业的扶持缺口；优化产业资金政策，推动产业资金与股权投资结合激励政策；制定2016年点线世界运营计划；积极引进海外、港澳及国内高层次人才团队，科学设计人才住房分配政策，确保留住更多优质人才；紧抓打造“深圳标准”的契机，全面推行和落实政府服务企业标准管理体系落实于“企业综合信息服务平台”。</w:t>
      </w:r>
    </w:p>
    <w:p>
      <w:pPr>
        <w:numPr>
          <w:ilvl w:val="0"/>
          <w:numId w:val="1"/>
        </w:numPr>
        <w:spacing w:line="560" w:lineRule="exact"/>
        <w:ind w:firstLine="424" w:firstLineChars="132"/>
        <w:rPr>
          <w:rFonts w:hint="eastAsia" w:ascii="仿宋" w:hAnsi="仿宋" w:eastAsia="仿宋"/>
          <w:b/>
          <w:bCs/>
          <w:sz w:val="32"/>
          <w:szCs w:val="32"/>
        </w:rPr>
      </w:pPr>
      <w:r>
        <w:rPr>
          <w:rFonts w:hint="eastAsia" w:ascii="仿宋" w:hAnsi="仿宋" w:eastAsia="仿宋"/>
          <w:b/>
          <w:bCs/>
          <w:sz w:val="32"/>
          <w:szCs w:val="32"/>
        </w:rPr>
        <w:t>着力“建设”与“管理”，不断提升城市品质</w:t>
      </w:r>
      <w:r>
        <w:rPr>
          <w:rFonts w:ascii="仿宋" w:hAnsi="仿宋" w:eastAsia="仿宋"/>
          <w:b/>
          <w:bCs/>
          <w:sz w:val="32"/>
          <w:szCs w:val="32"/>
        </w:rPr>
        <w:t>。</w:t>
      </w:r>
      <w:r>
        <w:rPr>
          <w:rFonts w:hint="eastAsia" w:ascii="仿宋" w:hAnsi="仿宋" w:eastAsia="仿宋"/>
          <w:b/>
          <w:bCs/>
          <w:sz w:val="32"/>
          <w:szCs w:val="32"/>
        </w:rPr>
        <w:t xml:space="preserve">  </w:t>
      </w:r>
    </w:p>
    <w:p>
      <w:pPr>
        <w:spacing w:line="560" w:lineRule="exact"/>
        <w:rPr>
          <w:rFonts w:hint="eastAsia" w:ascii="仿宋" w:hAnsi="仿宋" w:eastAsia="仿宋"/>
          <w:sz w:val="32"/>
          <w:szCs w:val="32"/>
        </w:rPr>
      </w:pPr>
      <w:r>
        <w:rPr>
          <w:rFonts w:hint="eastAsia" w:ascii="仿宋" w:hAnsi="仿宋" w:eastAsia="仿宋"/>
          <w:sz w:val="32"/>
          <w:szCs w:val="32"/>
        </w:rPr>
        <w:t xml:space="preserve">    大力推进公园建设，对辖区100余公园进行系统性整体规划，完善“百园福田”网络体系。持续提升道路景观，实施福田保税区和滨河路福田段整体绿化提升改造工程，将侨城东路打造成市政功能完善的示范道路，试点建设一批具备国际水准的精品花街。对辖区绿道、公园、绿地、重要节点等进行整合贯通，挖掘绿道人文景观内涵，大力推进公园建设对辖区100余公园进行系统性整体规划，加快景蜜、沙嘴等5大主题社区公园建设，开展深南中路4个休闲公园带建设，打造一流的中心绿色慢行区。继续开展屋顶绿化、垂直绿化、立交桥绿化、阳台美化等多种立体绿化形式，探索打造香蜜公园多层次绿化新格局。全面推进生活垃圾密闭收运，深化垃圾分类处理，升级环卫基础设施，加强环卫爱卫管理水平。深入开展综合执法专项整治行动</w:t>
      </w:r>
      <w:r>
        <w:rPr>
          <w:rFonts w:hint="eastAsia" w:ascii="仿宋" w:hAnsi="仿宋" w:eastAsia="仿宋"/>
          <w:sz w:val="32"/>
          <w:szCs w:val="32"/>
          <w:lang w:val="en-US" w:eastAsia="zh-CN"/>
        </w:rPr>
        <w:t>,</w:t>
      </w:r>
      <w:r>
        <w:rPr>
          <w:rFonts w:hint="eastAsia" w:ascii="仿宋" w:hAnsi="仿宋" w:eastAsia="仿宋"/>
          <w:sz w:val="32"/>
          <w:szCs w:val="32"/>
        </w:rPr>
        <w:t>实行综合执法标准化管理</w:t>
      </w:r>
      <w:r>
        <w:rPr>
          <w:rFonts w:hint="eastAsia" w:ascii="仿宋" w:hAnsi="仿宋" w:eastAsia="仿宋"/>
          <w:sz w:val="32"/>
          <w:szCs w:val="32"/>
          <w:lang w:val="en-US" w:eastAsia="zh-CN"/>
        </w:rPr>
        <w:t>,</w:t>
      </w:r>
      <w:r>
        <w:rPr>
          <w:rFonts w:hint="eastAsia" w:ascii="仿宋" w:hAnsi="仿宋" w:eastAsia="仿宋"/>
          <w:sz w:val="32"/>
          <w:szCs w:val="32"/>
        </w:rPr>
        <w:t>强化执法全过程监督</w:t>
      </w:r>
      <w:r>
        <w:rPr>
          <w:rFonts w:hint="eastAsia" w:ascii="仿宋" w:hAnsi="仿宋" w:eastAsia="仿宋"/>
          <w:sz w:val="32"/>
          <w:szCs w:val="32"/>
          <w:lang w:val="en-US" w:eastAsia="zh-CN"/>
        </w:rPr>
        <w:t>,</w:t>
      </w:r>
      <w:r>
        <w:rPr>
          <w:rFonts w:hint="eastAsia" w:ascii="仿宋" w:hAnsi="仿宋" w:eastAsia="仿宋"/>
          <w:sz w:val="32"/>
          <w:szCs w:val="32"/>
        </w:rPr>
        <w:t>构建多元协同执法模式。开展系列治水提质工程，大力推进海绵城区建设，构建雨水综合利用系统，构建科学合理的城市化格局。深入开展低碳竞赛系列宣传活动，针对中小型企业经营者的加大环保水务宣传，推进自愿清洁生产，抓好节能环保模范企业持续改进工作。</w:t>
      </w:r>
    </w:p>
    <w:p>
      <w:pPr>
        <w:spacing w:line="560" w:lineRule="exact"/>
        <w:ind w:firstLine="642" w:firstLineChars="200"/>
        <w:rPr>
          <w:rFonts w:hint="eastAsia" w:ascii="Times New Roman" w:hAnsi="Times New Roman" w:eastAsia="楷体"/>
          <w:color w:val="000000"/>
          <w:sz w:val="32"/>
          <w:szCs w:val="32"/>
        </w:rPr>
      </w:pPr>
      <w:r>
        <w:rPr>
          <w:rFonts w:hint="eastAsia" w:ascii="仿宋" w:hAnsi="仿宋" w:eastAsia="仿宋"/>
          <w:b/>
          <w:bCs/>
          <w:color w:val="000000"/>
          <w:sz w:val="32"/>
          <w:szCs w:val="32"/>
          <w:lang w:val="en-US" w:eastAsia="zh-CN"/>
        </w:rPr>
        <w:t>(五）</w:t>
      </w:r>
      <w:r>
        <w:rPr>
          <w:rFonts w:hint="eastAsia" w:ascii="仿宋" w:hAnsi="仿宋" w:eastAsia="仿宋"/>
          <w:b/>
          <w:bCs/>
          <w:color w:val="000000"/>
          <w:sz w:val="32"/>
          <w:szCs w:val="32"/>
        </w:rPr>
        <w:t>全方位加大投入力度，确保民生服务优质均衡</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bCs/>
          <w:color w:val="000000"/>
          <w:sz w:val="32"/>
          <w:szCs w:val="32"/>
        </w:rPr>
        <w:t>在安全管理方面，</w:t>
      </w:r>
      <w:r>
        <w:rPr>
          <w:rFonts w:hint="eastAsia" w:ascii="仿宋" w:hAnsi="仿宋" w:eastAsia="仿宋"/>
          <w:color w:val="000000"/>
          <w:sz w:val="32"/>
          <w:szCs w:val="32"/>
        </w:rPr>
        <w:t>全面推进国际安全社区建设，</w:t>
      </w:r>
      <w:r>
        <w:rPr>
          <w:rFonts w:hint="eastAsia" w:ascii="仿宋" w:hAnsi="仿宋" w:eastAsia="仿宋"/>
          <w:sz w:val="32"/>
          <w:szCs w:val="32"/>
        </w:rPr>
        <w:t>持续推进隐患排查治理体系建设</w:t>
      </w:r>
      <w:r>
        <w:rPr>
          <w:rFonts w:hint="eastAsia" w:ascii="仿宋" w:hAnsi="仿宋" w:eastAsia="仿宋"/>
          <w:sz w:val="32"/>
          <w:szCs w:val="32"/>
          <w:lang w:val="en-US" w:eastAsia="zh-CN"/>
        </w:rPr>
        <w:t>,</w:t>
      </w:r>
      <w:r>
        <w:rPr>
          <w:rFonts w:hint="eastAsia" w:ascii="仿宋" w:hAnsi="仿宋" w:eastAsia="仿宋"/>
          <w:color w:val="000000"/>
          <w:sz w:val="32"/>
          <w:szCs w:val="32"/>
        </w:rPr>
        <w:t>加大对事故隐患重点领域的监控力度，依靠科技，社会</w:t>
      </w:r>
      <w:r>
        <w:rPr>
          <w:rFonts w:hint="eastAsia" w:ascii="仿宋" w:hAnsi="仿宋" w:eastAsia="仿宋"/>
          <w:color w:val="000000"/>
          <w:sz w:val="32"/>
          <w:szCs w:val="32"/>
          <w:lang w:eastAsia="zh-CN"/>
        </w:rPr>
        <w:t>力量</w:t>
      </w:r>
      <w:r>
        <w:rPr>
          <w:rFonts w:hint="eastAsia" w:ascii="仿宋" w:hAnsi="仿宋" w:eastAsia="仿宋"/>
          <w:color w:val="000000"/>
          <w:sz w:val="32"/>
          <w:szCs w:val="32"/>
        </w:rPr>
        <w:t>共治</w:t>
      </w:r>
      <w:r>
        <w:rPr>
          <w:rFonts w:hint="eastAsia" w:ascii="仿宋" w:hAnsi="仿宋" w:eastAsia="仿宋"/>
          <w:color w:val="000000"/>
          <w:sz w:val="32"/>
          <w:szCs w:val="32"/>
          <w:lang w:eastAsia="zh-CN"/>
        </w:rPr>
        <w:t>安全；</w:t>
      </w:r>
      <w:r>
        <w:rPr>
          <w:rFonts w:hint="eastAsia" w:ascii="仿宋" w:hAnsi="仿宋" w:eastAsia="仿宋"/>
          <w:sz w:val="32"/>
          <w:szCs w:val="32"/>
        </w:rPr>
        <w:t>突出重点行业领域专项整治</w:t>
      </w:r>
      <w:r>
        <w:rPr>
          <w:rFonts w:hint="eastAsia" w:ascii="仿宋" w:hAnsi="仿宋" w:eastAsia="仿宋"/>
          <w:sz w:val="32"/>
          <w:szCs w:val="32"/>
          <w:lang w:eastAsia="zh-CN"/>
        </w:rPr>
        <w:t>，</w:t>
      </w:r>
      <w:r>
        <w:rPr>
          <w:rFonts w:hint="eastAsia" w:ascii="仿宋" w:hAnsi="仿宋" w:eastAsia="仿宋"/>
          <w:sz w:val="32"/>
          <w:szCs w:val="32"/>
        </w:rPr>
        <w:t>突出重视道路交通、建筑施工、消防等重点</w:t>
      </w:r>
      <w:r>
        <w:rPr>
          <w:rFonts w:hint="eastAsia" w:ascii="仿宋" w:hAnsi="仿宋" w:eastAsia="仿宋"/>
          <w:sz w:val="32"/>
          <w:szCs w:val="32"/>
          <w:lang w:eastAsia="zh-CN"/>
        </w:rPr>
        <w:t>领域</w:t>
      </w:r>
      <w:r>
        <w:rPr>
          <w:rFonts w:hint="eastAsia" w:ascii="仿宋" w:hAnsi="仿宋" w:eastAsia="仿宋"/>
          <w:sz w:val="32"/>
          <w:szCs w:val="32"/>
        </w:rPr>
        <w:t>的风险分析，推动安全大检查、隐患整治攻坚等专项整治行动</w:t>
      </w:r>
      <w:r>
        <w:rPr>
          <w:rFonts w:hint="eastAsia" w:ascii="仿宋" w:hAnsi="仿宋" w:eastAsia="仿宋"/>
          <w:sz w:val="32"/>
          <w:szCs w:val="32"/>
          <w:lang w:eastAsia="zh-CN"/>
        </w:rPr>
        <w:t>；</w:t>
      </w:r>
      <w:r>
        <w:rPr>
          <w:rFonts w:hint="eastAsia" w:ascii="仿宋" w:hAnsi="仿宋" w:eastAsia="仿宋"/>
          <w:sz w:val="32"/>
          <w:szCs w:val="32"/>
        </w:rPr>
        <w:t>推进工贸行业小微企业安全生产标准化建设</w:t>
      </w:r>
      <w:r>
        <w:rPr>
          <w:rFonts w:hint="eastAsia" w:ascii="仿宋" w:hAnsi="仿宋" w:eastAsia="仿宋"/>
          <w:sz w:val="32"/>
          <w:szCs w:val="32"/>
          <w:lang w:val="en-US" w:eastAsia="zh-CN"/>
        </w:rPr>
        <w:t>,</w:t>
      </w:r>
      <w:r>
        <w:rPr>
          <w:rFonts w:hint="eastAsia" w:ascii="仿宋" w:hAnsi="仿宋" w:eastAsia="仿宋"/>
          <w:sz w:val="32"/>
          <w:szCs w:val="32"/>
        </w:rPr>
        <w:t>指导企业提高安全管理水平</w:t>
      </w:r>
      <w:r>
        <w:rPr>
          <w:rFonts w:hint="eastAsia" w:ascii="仿宋" w:hAnsi="仿宋" w:eastAsia="仿宋"/>
          <w:sz w:val="32"/>
          <w:szCs w:val="32"/>
          <w:lang w:eastAsia="zh-CN"/>
        </w:rPr>
        <w:t>。</w:t>
      </w:r>
      <w:r>
        <w:rPr>
          <w:rFonts w:hint="eastAsia" w:ascii="仿宋" w:hAnsi="仿宋" w:eastAsia="仿宋"/>
          <w:b/>
          <w:bCs/>
          <w:sz w:val="32"/>
          <w:szCs w:val="32"/>
        </w:rPr>
        <w:t>在教育方面，</w:t>
      </w:r>
      <w:r>
        <w:rPr>
          <w:rFonts w:hint="eastAsia" w:ascii="仿宋" w:hAnsi="仿宋" w:eastAsia="仿宋"/>
          <w:sz w:val="32"/>
          <w:szCs w:val="32"/>
        </w:rPr>
        <w:t>采取多种举措增加辖区学位供给，通过联合办学等方式促进各学校均衡化发展，提高城中村学校办学水平，加大与教育发达国家和地区开展全方位</w:t>
      </w:r>
      <w:r>
        <w:rPr>
          <w:rFonts w:hint="eastAsia" w:ascii="仿宋" w:hAnsi="仿宋" w:eastAsia="仿宋"/>
          <w:color w:val="000000"/>
          <w:sz w:val="32"/>
          <w:szCs w:val="32"/>
        </w:rPr>
        <w:t>的教育交流与合作，继续提升我区教育国际化水平与核心竞争力。2016年新增公办义务教育学位750个，幼儿园学位1200个。</w:t>
      </w:r>
      <w:r>
        <w:rPr>
          <w:rFonts w:hint="eastAsia" w:ascii="仿宋" w:hAnsi="仿宋" w:eastAsia="仿宋"/>
          <w:b/>
          <w:bCs/>
          <w:color w:val="000000"/>
          <w:sz w:val="32"/>
          <w:szCs w:val="32"/>
        </w:rPr>
        <w:t>在卫生方面，</w:t>
      </w:r>
      <w:r>
        <w:rPr>
          <w:rFonts w:hint="eastAsia" w:ascii="仿宋" w:hAnsi="仿宋" w:eastAsia="仿宋"/>
          <w:color w:val="000000"/>
          <w:sz w:val="32"/>
          <w:szCs w:val="32"/>
        </w:rPr>
        <w:t>提升公共卫生服务水平，加快推进区人民医院、中医院后期建设工程、区二院新业务大楼装修改造工程，力争启动景田北医疗项目和安托山妇儿医院建设工程，推进社康中心综合配套改革，推进福田区免费公卫项目、妇幼安康工程和儿童健康素养等惠民项目。</w:t>
      </w:r>
      <w:r>
        <w:rPr>
          <w:rFonts w:hint="eastAsia" w:ascii="仿宋" w:hAnsi="仿宋" w:eastAsia="仿宋"/>
          <w:b/>
          <w:bCs/>
          <w:color w:val="000000"/>
          <w:sz w:val="32"/>
          <w:szCs w:val="32"/>
        </w:rPr>
        <w:t>在养老方面，</w:t>
      </w:r>
      <w:r>
        <w:rPr>
          <w:rFonts w:hint="eastAsia" w:ascii="仿宋" w:hAnsi="仿宋" w:eastAsia="仿宋"/>
          <w:color w:val="000000"/>
          <w:sz w:val="32"/>
          <w:szCs w:val="32"/>
        </w:rPr>
        <w:t>推进日照中心转型升级，健全养老服务机构的医疗功能，在城市更新项目中规划养老医疗一体化服务用房，提升我区养老服务专业水平。</w:t>
      </w:r>
      <w:r>
        <w:rPr>
          <w:rFonts w:hint="eastAsia" w:ascii="仿宋" w:hAnsi="仿宋" w:eastAsia="仿宋"/>
          <w:b/>
          <w:bCs/>
          <w:color w:val="000000"/>
          <w:sz w:val="32"/>
          <w:szCs w:val="32"/>
        </w:rPr>
        <w:t>在住房建设方面，</w:t>
      </w:r>
      <w:r>
        <w:rPr>
          <w:rFonts w:hint="eastAsia" w:ascii="仿宋" w:hAnsi="仿宋" w:eastAsia="仿宋"/>
          <w:color w:val="000000"/>
          <w:sz w:val="32"/>
          <w:szCs w:val="32"/>
        </w:rPr>
        <w:t>加大保障性住房建设和供应力度，通过旧住宅小区改造、城中村改造、城市更新配建、挖掘闲置用地等方式多渠道筹集保障性住房，完善保障性住房配套管理，出台产业人才住房租赁管理暂行办法，建立完善保障房封闭运作政策机制。</w:t>
      </w:r>
      <w:r>
        <w:rPr>
          <w:rFonts w:hint="eastAsia" w:ascii="仿宋" w:hAnsi="仿宋" w:eastAsia="仿宋"/>
          <w:b/>
          <w:bCs/>
          <w:color w:val="000000"/>
          <w:sz w:val="32"/>
          <w:szCs w:val="32"/>
        </w:rPr>
        <w:t>在社区服务方面，</w:t>
      </w:r>
      <w:r>
        <w:rPr>
          <w:rFonts w:hint="eastAsia" w:ascii="仿宋" w:hAnsi="仿宋" w:eastAsia="仿宋"/>
          <w:color w:val="000000"/>
          <w:sz w:val="32"/>
          <w:szCs w:val="32"/>
        </w:rPr>
        <w:t>提高“大管家”平台和社区服务中心效能，加强社区家园网子站建设，提高居民生活便利度和社会服务专业度；</w:t>
      </w:r>
      <w:r>
        <w:rPr>
          <w:rFonts w:hint="eastAsia" w:ascii="仿宋" w:hAnsi="仿宋" w:eastAsia="仿宋"/>
          <w:b/>
          <w:bCs/>
          <w:color w:val="000000"/>
          <w:sz w:val="32"/>
          <w:szCs w:val="32"/>
        </w:rPr>
        <w:t>在就业方面，</w:t>
      </w:r>
      <w:r>
        <w:rPr>
          <w:rFonts w:hint="eastAsia" w:ascii="仿宋" w:hAnsi="仿宋" w:eastAsia="仿宋"/>
          <w:color w:val="000000"/>
          <w:sz w:val="32"/>
          <w:szCs w:val="32"/>
        </w:rPr>
        <w:t>继续营造福田区“大众创业、万众创新”的创业氛围，组织系列创业技能培训和项目推介会，用好“就业一点通”系统，举办各类公益性招聘会，落实“点对点”人才服务机制。</w:t>
      </w:r>
      <w:r>
        <w:rPr>
          <w:rFonts w:hint="eastAsia" w:ascii="仿宋" w:hAnsi="仿宋" w:eastAsia="仿宋"/>
          <w:b/>
          <w:bCs/>
          <w:color w:val="000000"/>
          <w:sz w:val="32"/>
          <w:szCs w:val="32"/>
        </w:rPr>
        <w:t>在交通服务方面，</w:t>
      </w:r>
      <w:r>
        <w:rPr>
          <w:rFonts w:hint="eastAsia" w:ascii="仿宋" w:hAnsi="仿宋" w:eastAsia="仿宋"/>
          <w:color w:val="000000"/>
          <w:sz w:val="32"/>
          <w:szCs w:val="32"/>
        </w:rPr>
        <w:t>优化福田区公共交通系统、场站、路线设置，根据实际情况增（扩）建立体停车场或临时停车场，缓解市民临时停车的问题。</w:t>
      </w:r>
    </w:p>
    <w:p>
      <w:pPr>
        <w:numPr>
          <w:ilvl w:val="0"/>
          <w:numId w:val="0"/>
        </w:numPr>
        <w:autoSpaceDE w:val="0"/>
        <w:autoSpaceDN w:val="0"/>
        <w:spacing w:line="560" w:lineRule="exact"/>
        <w:ind w:leftChars="132"/>
        <w:rPr>
          <w:rFonts w:eastAsia="楷体"/>
          <w:b/>
          <w:bCs/>
          <w:color w:val="000000"/>
          <w:sz w:val="32"/>
          <w:szCs w:val="32"/>
        </w:rPr>
      </w:pPr>
      <w:r>
        <w:rPr>
          <w:rFonts w:hint="eastAsia" w:ascii="仿宋" w:hAnsi="仿宋" w:eastAsia="仿宋"/>
          <w:b/>
          <w:bCs/>
          <w:color w:val="000000"/>
          <w:sz w:val="32"/>
          <w:szCs w:val="32"/>
          <w:lang w:val="en-US" w:eastAsia="zh-CN"/>
        </w:rPr>
        <w:t xml:space="preserve"> </w:t>
      </w:r>
      <w:r>
        <w:rPr>
          <w:rFonts w:hint="eastAsia" w:ascii="仿宋" w:hAnsi="仿宋" w:eastAsia="仿宋"/>
          <w:b/>
          <w:bCs/>
          <w:color w:val="000000"/>
          <w:sz w:val="32"/>
          <w:szCs w:val="32"/>
          <w:lang w:eastAsia="zh-CN"/>
        </w:rPr>
        <w:t>（六）</w:t>
      </w:r>
      <w:r>
        <w:rPr>
          <w:rFonts w:hint="eastAsia" w:ascii="仿宋" w:hAnsi="仿宋" w:eastAsia="仿宋"/>
          <w:b/>
          <w:bCs/>
          <w:color w:val="000000"/>
          <w:sz w:val="32"/>
          <w:szCs w:val="32"/>
        </w:rPr>
        <w:t>强化集约发展理念，提高绿色低碳水平</w:t>
      </w:r>
    </w:p>
    <w:p>
      <w:pPr>
        <w:autoSpaceDE w:val="0"/>
        <w:autoSpaceDN w:val="0"/>
        <w:spacing w:line="560" w:lineRule="exact"/>
        <w:ind w:firstLine="640" w:firstLineChars="200"/>
        <w:rPr>
          <w:rFonts w:ascii="仿宋" w:hAnsi="仿宋" w:eastAsia="仿宋" w:cs="仿宋"/>
          <w:color w:val="000000"/>
          <w:sz w:val="32"/>
          <w:szCs w:val="32"/>
        </w:rPr>
      </w:pPr>
      <w:r>
        <w:rPr>
          <w:rFonts w:hint="eastAsia" w:ascii="仿宋" w:hAnsi="仿宋" w:eastAsia="仿宋"/>
          <w:sz w:val="32"/>
          <w:szCs w:val="32"/>
        </w:rPr>
        <w:t>以营造“生产、生活、生态”空间为目标，促进城区建设成为人与自然和谐共处的美丽家园。</w:t>
      </w:r>
      <w:r>
        <w:rPr>
          <w:rFonts w:hint="eastAsia" w:ascii="仿宋" w:hAnsi="仿宋" w:eastAsia="仿宋" w:cs="仿宋"/>
          <w:color w:val="000000"/>
          <w:sz w:val="32"/>
          <w:szCs w:val="32"/>
        </w:rPr>
        <w:t>修订完善并落实绿色发展资金政策，加大对新能源、充电桩、低碳、节能环保等新兴产业的支持力度。开展辖区循环经济园区、楼宇、项目、商场评价工作，鼓励企业、行业协会及其他市场主体实施资源节约改造，提升绿色发展质量。组织循环经济示范专题系列宣传活动，与循环经济行业组织开展合作，营造全社会参与节能减排的良好氛围。推动治水提质行动，开展小区排水管网清源行动，推进优质饮用水入户工程，确保完成第二期优质水项目施工改造，力争第三期优质水项目进场施工，开展莲塘尾水库生态改造综合整治工程，恢复水库生态及雨洪管理功能，充分发挥水库的绿道连接点、生态踏脚石、公共水资源功用，同时实现为新洲河补水功能。力推海绵城区建设，在莲花山西侧山体低洼地段、深南大道和新洲路绿化带，以及地铁站建设复绿中开展雨洪收集利用试点改造，力争打造3－5个雨水综合利用推广示范点。</w:t>
      </w:r>
    </w:p>
    <w:p>
      <w:pPr>
        <w:numPr>
          <w:ilvl w:val="0"/>
          <w:numId w:val="2"/>
        </w:numPr>
        <w:autoSpaceDE w:val="0"/>
        <w:autoSpaceDN w:val="0"/>
        <w:spacing w:line="560" w:lineRule="exact"/>
        <w:ind w:firstLine="282" w:firstLineChars="88"/>
        <w:rPr>
          <w:rFonts w:hint="eastAsia" w:ascii="仿宋" w:hAnsi="仿宋" w:eastAsia="仿宋"/>
          <w:b/>
          <w:bCs/>
          <w:color w:val="000000"/>
          <w:sz w:val="32"/>
          <w:szCs w:val="32"/>
        </w:rPr>
      </w:pPr>
      <w:r>
        <w:rPr>
          <w:rFonts w:hint="eastAsia" w:ascii="仿宋" w:hAnsi="仿宋" w:eastAsia="仿宋"/>
          <w:b/>
          <w:bCs/>
          <w:color w:val="000000"/>
          <w:sz w:val="32"/>
          <w:szCs w:val="32"/>
        </w:rPr>
        <w:t>充分激发社会活力，提升城区治理水平</w:t>
      </w:r>
    </w:p>
    <w:p>
      <w:pPr>
        <w:spacing w:line="560" w:lineRule="exact"/>
        <w:ind w:firstLine="425" w:firstLineChars="133"/>
        <w:rPr>
          <w:rFonts w:hint="eastAsia" w:ascii="仿宋" w:hAnsi="仿宋" w:eastAsia="仿宋"/>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提高政府</w:t>
      </w:r>
      <w:r>
        <w:rPr>
          <w:rFonts w:hint="eastAsia" w:ascii="仿宋" w:hAnsi="仿宋" w:eastAsia="仿宋"/>
          <w:color w:val="000000"/>
          <w:sz w:val="32"/>
          <w:szCs w:val="32"/>
        </w:rPr>
        <w:t>、</w:t>
      </w:r>
      <w:r>
        <w:rPr>
          <w:rFonts w:ascii="仿宋" w:hAnsi="仿宋" w:eastAsia="仿宋"/>
          <w:color w:val="000000"/>
          <w:sz w:val="32"/>
          <w:szCs w:val="32"/>
        </w:rPr>
        <w:t>社会、市民</w:t>
      </w:r>
      <w:r>
        <w:rPr>
          <w:rFonts w:hint="eastAsia" w:ascii="仿宋" w:hAnsi="仿宋" w:eastAsia="仿宋"/>
          <w:color w:val="000000"/>
          <w:sz w:val="32"/>
          <w:szCs w:val="32"/>
          <w:lang w:eastAsia="zh-CN"/>
        </w:rPr>
        <w:t>各方</w:t>
      </w:r>
      <w:r>
        <w:rPr>
          <w:rFonts w:ascii="仿宋" w:hAnsi="仿宋" w:eastAsia="仿宋"/>
          <w:color w:val="000000"/>
          <w:sz w:val="32"/>
          <w:szCs w:val="32"/>
        </w:rPr>
        <w:t>推动城市发展的积极性</w:t>
      </w:r>
      <w:r>
        <w:rPr>
          <w:rFonts w:hint="eastAsia" w:ascii="仿宋" w:hAnsi="仿宋" w:eastAsia="仿宋"/>
          <w:color w:val="000000"/>
          <w:sz w:val="32"/>
          <w:szCs w:val="32"/>
        </w:rPr>
        <w:t>，鼓励企业和市民通过各种方式参与社会建设和管理。修订完善社会建设专项资金政策，推动回应居民需求、具有创新意义的优秀项目落地实施，发挥深圳社会组织总部基地（福田）的综合服务功能，强化社区居委会功能，探索推进社区公共事务项目化运营，更好地组织引导驻区单位、各类社会组织、志愿者团体、居民等参与社区治理和社区服务；深化互联网+基层治理建设，深化大数据在基层治理中的应用，向社会发布福田区社会建设发展指数，开展社会建设公共服务评估和居民满意度测评，为各部门、各街道开展各项工作的提供数据支持和量化指标；加大《福田区社区公共服务清单》落实力度，推动形成统一均衡的社区公共服务体系，推出“党员+社工+义工”的“三联服务清单”，提供多样化的特色、专业服务项目，满足居民实际需求；继续抓好社会组织建设，加大登记监管力度；继续开展社会创新百舸行动，收集和发布政府向社会组织转移职能和购买服务项目清单,组织开展对接洽谈活动，让资源对接和职能转移更接“地气”；探索社区公益项目创投，完善社区志愿服务激励和回馈机制。</w:t>
      </w:r>
    </w:p>
    <w:p>
      <w:pPr>
        <w:numPr>
          <w:ilvl w:val="0"/>
          <w:numId w:val="2"/>
        </w:numPr>
        <w:autoSpaceDE w:val="0"/>
        <w:autoSpaceDN w:val="0"/>
        <w:spacing w:line="560" w:lineRule="exact"/>
        <w:ind w:firstLine="424" w:firstLineChars="132"/>
        <w:rPr>
          <w:rFonts w:hint="eastAsia" w:ascii="仿宋" w:hAnsi="仿宋" w:eastAsia="仿宋"/>
          <w:b/>
          <w:bCs/>
          <w:color w:val="000000"/>
          <w:sz w:val="32"/>
          <w:szCs w:val="32"/>
        </w:rPr>
      </w:pPr>
      <w:r>
        <w:rPr>
          <w:rFonts w:hint="eastAsia" w:ascii="仿宋" w:hAnsi="仿宋" w:eastAsia="仿宋"/>
          <w:b/>
          <w:bCs/>
          <w:color w:val="000000"/>
          <w:sz w:val="32"/>
          <w:szCs w:val="32"/>
        </w:rPr>
        <w:t>继续深化改革，强化法治环境建设</w:t>
      </w:r>
    </w:p>
    <w:p>
      <w:pPr>
        <w:autoSpaceDE w:val="0"/>
        <w:autoSpaceDN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推动深圳的政府职能转变福田试点工作实施，以简政放权、放管结合、优化服务为目标，通过厘清权责、优化流程、精简审批、创新监管等一系列改革措施，利用互联网+现代信息化工具，进一步提升政府管理的科学化水平和工作效能，为全市深化政府职能转变探索有效路径提供先行样板；</w:t>
      </w:r>
      <w:r>
        <w:rPr>
          <w:rFonts w:ascii="仿宋" w:hAnsi="仿宋" w:eastAsia="仿宋"/>
          <w:color w:val="000000"/>
          <w:sz w:val="32"/>
          <w:szCs w:val="32"/>
        </w:rPr>
        <w:t>创新</w:t>
      </w:r>
      <w:r>
        <w:rPr>
          <w:rFonts w:hint="eastAsia" w:ascii="仿宋" w:hAnsi="仿宋" w:eastAsia="仿宋"/>
          <w:color w:val="000000"/>
          <w:sz w:val="32"/>
          <w:szCs w:val="32"/>
        </w:rPr>
        <w:t>城区</w:t>
      </w:r>
      <w:r>
        <w:rPr>
          <w:rFonts w:ascii="仿宋" w:hAnsi="仿宋" w:eastAsia="仿宋"/>
          <w:color w:val="000000"/>
          <w:sz w:val="32"/>
          <w:szCs w:val="32"/>
        </w:rPr>
        <w:t>治理方式，加强城市精细化管理，确定管理范围、权力清单、责任主体</w:t>
      </w:r>
      <w:r>
        <w:rPr>
          <w:rFonts w:hint="eastAsia" w:ascii="仿宋" w:hAnsi="仿宋" w:eastAsia="仿宋"/>
          <w:color w:val="000000"/>
          <w:sz w:val="32"/>
          <w:szCs w:val="32"/>
        </w:rPr>
        <w:t>，建立全区统一的行政执法信息化平台，继续推动城管、公安“三联”执法，进一步规范行政执法自由裁量权。加强与交警、市场监督等部门协作，进一步提升城市综合执法水平，</w:t>
      </w:r>
      <w:r>
        <w:rPr>
          <w:rFonts w:ascii="仿宋" w:hAnsi="仿宋" w:eastAsia="仿宋"/>
          <w:color w:val="000000"/>
          <w:sz w:val="32"/>
          <w:szCs w:val="32"/>
        </w:rPr>
        <w:t>尊重市民对城市发展决策的知情权、参与权、监督权，鼓励企业和市民通过各种方式参与城市建设、管理</w:t>
      </w:r>
      <w:r>
        <w:rPr>
          <w:rFonts w:hint="eastAsia" w:ascii="仿宋" w:hAnsi="仿宋" w:eastAsia="仿宋"/>
          <w:color w:val="000000"/>
          <w:sz w:val="32"/>
          <w:szCs w:val="32"/>
        </w:rPr>
        <w:t>；开展创投引导基金规范化改革，创新产业资金投入方式，推动产业资金与股权投资结合，更多地依托社会投资机构（包括VC、PE等），扶持重点领域、新兴行业和高成长性企业，充分发挥产业资金的引导和激励作用，提高资金使用效益；深化投融资体制改革，按新出台的运作流程规范，推动辖区内投融资项目建设有序规范发展；加大民生微实事投入，以每个社区200万元的标准，总计投入1.8亿元，更大范围提高社区居民的参与度；深化公立医院法人治理结构改革，深化公共文化机构社会治理新模式。健全公共法律服务网络，加强公共法律服务支撑平台建设；扩大人民调解工作领域，巩固和发展人民调解‘福</w:t>
      </w:r>
      <w:r>
        <w:rPr>
          <w:rFonts w:hint="eastAsia" w:ascii="仿宋" w:hAnsi="仿宋" w:eastAsia="仿宋" w:cs="仿宋"/>
          <w:color w:val="000000"/>
          <w:sz w:val="32"/>
          <w:szCs w:val="32"/>
        </w:rPr>
        <w:t>田模式’；完善一社区一法律顾问工作机制，强化基层法治化建设；扩大法律援助的覆盖面，降低受援门槛；规范社区服刑人员监管，推进社区矫正的信息化和规范化建设；探索建立国际法律服务中心，借鉴香港、面向国际，积极探索与国际惯例接轨的法律服务体制机制，加强深港法律服务业合作，引进一批国内外知名法律服务机构，提升国际化法律服务能力和水平。</w:t>
      </w:r>
    </w:p>
    <w:p>
      <w:pPr>
        <w:autoSpaceDE w:val="0"/>
        <w:autoSpaceDN w:val="0"/>
        <w:spacing w:line="560" w:lineRule="exact"/>
        <w:ind w:firstLine="640" w:firstLineChars="200"/>
        <w:rPr>
          <w:rFonts w:hint="eastAsia" w:ascii="仿宋" w:hAnsi="仿宋" w:eastAsia="仿宋"/>
          <w:color w:val="000000"/>
          <w:sz w:val="32"/>
          <w:szCs w:val="32"/>
        </w:rPr>
      </w:pPr>
    </w:p>
    <w:p>
      <w:pPr>
        <w:autoSpaceDE w:val="0"/>
        <w:autoSpaceDN w:val="0"/>
        <w:spacing w:line="560" w:lineRule="exact"/>
        <w:ind w:firstLine="566" w:firstLineChars="177"/>
        <w:rPr>
          <w:rFonts w:hint="eastAsia" w:ascii="仿宋" w:hAnsi="仿宋" w:eastAsia="仿宋"/>
          <w:spacing w:val="-20"/>
          <w:sz w:val="32"/>
          <w:szCs w:val="32"/>
        </w:rPr>
      </w:pPr>
      <w:r>
        <w:rPr>
          <w:rFonts w:hint="eastAsia" w:ascii="仿宋" w:hAnsi="仿宋" w:eastAsia="仿宋"/>
          <w:sz w:val="32"/>
          <w:szCs w:val="32"/>
        </w:rPr>
        <w:t>附</w:t>
      </w:r>
      <w:r>
        <w:rPr>
          <w:rFonts w:hint="eastAsia" w:ascii="仿宋" w:hAnsi="仿宋" w:eastAsia="仿宋"/>
          <w:spacing w:val="-20"/>
          <w:sz w:val="32"/>
          <w:szCs w:val="32"/>
        </w:rPr>
        <w:t>件：福</w:t>
      </w:r>
      <w:r>
        <w:rPr>
          <w:rFonts w:hint="eastAsia" w:ascii="仿宋" w:hAnsi="仿宋" w:eastAsia="仿宋"/>
          <w:sz w:val="32"/>
          <w:szCs w:val="32"/>
        </w:rPr>
        <w:t>田区2016年经济社会发展主要</w:t>
      </w:r>
      <w:r>
        <w:rPr>
          <w:rFonts w:hint="eastAsia" w:ascii="仿宋" w:hAnsi="仿宋" w:eastAsia="仿宋"/>
          <w:spacing w:val="-20"/>
          <w:sz w:val="32"/>
          <w:szCs w:val="32"/>
        </w:rPr>
        <w:t>目标建议表</w:t>
      </w:r>
    </w:p>
    <w:p>
      <w:pPr>
        <w:adjustRightInd w:val="0"/>
        <w:snapToGrid w:val="0"/>
        <w:spacing w:line="560" w:lineRule="exact"/>
        <w:rPr>
          <w:rFonts w:hint="eastAsia" w:ascii="黑体" w:hAnsi="黑体" w:eastAsia="黑体"/>
          <w:color w:val="000000"/>
          <w:sz w:val="32"/>
          <w:szCs w:val="24"/>
        </w:rPr>
      </w:pPr>
    </w:p>
    <w:p>
      <w:pPr>
        <w:adjustRightInd w:val="0"/>
        <w:snapToGrid w:val="0"/>
        <w:spacing w:line="560" w:lineRule="exact"/>
        <w:rPr>
          <w:rFonts w:hint="eastAsia" w:ascii="黑体" w:hAnsi="黑体" w:eastAsia="黑体"/>
          <w:color w:val="000000"/>
          <w:sz w:val="32"/>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adjustRightInd w:val="0"/>
        <w:snapToGrid w:val="0"/>
        <w:spacing w:line="560" w:lineRule="exact"/>
        <w:rPr>
          <w:rFonts w:ascii="黑体" w:hAnsi="黑体" w:eastAsia="黑体"/>
          <w:color w:val="000000"/>
          <w:sz w:val="32"/>
          <w:szCs w:val="24"/>
        </w:rPr>
      </w:pPr>
      <w:r>
        <w:rPr>
          <w:rFonts w:ascii="黑体" w:hAnsi="黑体" w:eastAsia="黑体"/>
          <w:color w:val="000000"/>
          <w:sz w:val="32"/>
          <w:szCs w:val="24"/>
        </w:rPr>
        <w:t>附件</w:t>
      </w:r>
    </w:p>
    <w:p>
      <w:pPr>
        <w:rPr>
          <w:rFonts w:hint="eastAsia"/>
          <w:color w:val="000000"/>
        </w:rPr>
      </w:pPr>
    </w:p>
    <w:p>
      <w:pPr>
        <w:snapToGrid w:val="0"/>
        <w:spacing w:line="560" w:lineRule="exact"/>
        <w:ind w:left="-2" w:leftChars="-135" w:hanging="281" w:hangingChars="64"/>
        <w:jc w:val="center"/>
        <w:rPr>
          <w:rFonts w:ascii="Times New Roman" w:hAnsi="Times New Roman"/>
          <w:color w:val="000000"/>
          <w:sz w:val="44"/>
          <w:szCs w:val="44"/>
        </w:rPr>
      </w:pPr>
      <w:r>
        <w:rPr>
          <w:rFonts w:ascii="Times New Roman" w:hAnsi="Times New Roman"/>
          <w:color w:val="000000"/>
          <w:sz w:val="44"/>
          <w:szCs w:val="44"/>
        </w:rPr>
        <w:t>福田区2016年经济社会发展主要目标建议表</w:t>
      </w:r>
    </w:p>
    <w:p>
      <w:pPr>
        <w:snapToGrid w:val="0"/>
        <w:spacing w:line="560" w:lineRule="exact"/>
        <w:jc w:val="center"/>
        <w:rPr>
          <w:rFonts w:ascii="Times New Roman" w:hAnsi="Times New Roman" w:eastAsia="方正小标宋简体"/>
          <w:color w:val="000000"/>
          <w:sz w:val="10"/>
          <w:szCs w:val="1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1276"/>
        <w:gridCol w:w="1276"/>
        <w:gridCol w:w="807"/>
        <w:gridCol w:w="1701"/>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3084" w:type="dxa"/>
            <w:vMerge w:val="restart"/>
            <w:tcBorders>
              <w:left w:val="nil"/>
            </w:tcBorders>
            <w:noWrap w:val="0"/>
            <w:vAlign w:val="center"/>
          </w:tcPr>
          <w:p>
            <w:pPr>
              <w:adjustRightInd w:val="0"/>
              <w:snapToGrid w:val="0"/>
              <w:ind w:left="-250"/>
              <w:jc w:val="center"/>
              <w:rPr>
                <w:rFonts w:ascii="黑体" w:hAnsi="黑体" w:eastAsia="黑体"/>
                <w:color w:val="000000"/>
                <w:sz w:val="28"/>
                <w:szCs w:val="28"/>
              </w:rPr>
            </w:pPr>
            <w:r>
              <w:rPr>
                <w:rFonts w:ascii="黑体" w:hAnsi="黑体" w:eastAsia="黑体"/>
                <w:color w:val="000000"/>
                <w:sz w:val="28"/>
                <w:szCs w:val="28"/>
              </w:rPr>
              <w:t>指标名称</w:t>
            </w:r>
          </w:p>
        </w:tc>
        <w:tc>
          <w:tcPr>
            <w:tcW w:w="1276" w:type="dxa"/>
            <w:vMerge w:val="restart"/>
            <w:noWrap w:val="0"/>
            <w:vAlign w:val="center"/>
          </w:tcPr>
          <w:p>
            <w:pPr>
              <w:adjustRightInd w:val="0"/>
              <w:snapToGrid w:val="0"/>
              <w:jc w:val="center"/>
              <w:rPr>
                <w:rFonts w:ascii="黑体" w:hAnsi="黑体" w:eastAsia="黑体"/>
                <w:color w:val="000000"/>
                <w:sz w:val="28"/>
                <w:szCs w:val="28"/>
              </w:rPr>
            </w:pPr>
            <w:r>
              <w:rPr>
                <w:rFonts w:ascii="黑体" w:hAnsi="黑体" w:eastAsia="黑体"/>
                <w:color w:val="000000"/>
                <w:sz w:val="28"/>
                <w:szCs w:val="28"/>
              </w:rPr>
              <w:t>单位</w:t>
            </w:r>
          </w:p>
        </w:tc>
        <w:tc>
          <w:tcPr>
            <w:tcW w:w="2083" w:type="dxa"/>
            <w:gridSpan w:val="2"/>
            <w:noWrap w:val="0"/>
            <w:vAlign w:val="center"/>
          </w:tcPr>
          <w:p>
            <w:pPr>
              <w:adjustRightInd w:val="0"/>
              <w:snapToGrid w:val="0"/>
              <w:jc w:val="center"/>
              <w:rPr>
                <w:rFonts w:ascii="黑体" w:hAnsi="黑体" w:eastAsia="黑体"/>
                <w:color w:val="000000"/>
                <w:sz w:val="28"/>
                <w:szCs w:val="28"/>
              </w:rPr>
            </w:pPr>
            <w:r>
              <w:rPr>
                <w:rFonts w:ascii="黑体" w:hAnsi="黑体" w:eastAsia="黑体"/>
                <w:color w:val="000000"/>
                <w:sz w:val="28"/>
                <w:szCs w:val="28"/>
              </w:rPr>
              <w:t>2015年</w:t>
            </w:r>
          </w:p>
        </w:tc>
        <w:tc>
          <w:tcPr>
            <w:tcW w:w="3124" w:type="dxa"/>
            <w:gridSpan w:val="2"/>
            <w:tcBorders>
              <w:right w:val="nil"/>
            </w:tcBorders>
            <w:noWrap w:val="0"/>
            <w:vAlign w:val="center"/>
          </w:tcPr>
          <w:p>
            <w:pPr>
              <w:adjustRightInd w:val="0"/>
              <w:snapToGrid w:val="0"/>
              <w:jc w:val="center"/>
              <w:rPr>
                <w:rFonts w:ascii="黑体" w:hAnsi="黑体" w:eastAsia="黑体"/>
                <w:color w:val="000000"/>
                <w:sz w:val="28"/>
                <w:szCs w:val="28"/>
              </w:rPr>
            </w:pPr>
            <w:r>
              <w:rPr>
                <w:rFonts w:ascii="黑体" w:hAnsi="黑体" w:eastAsia="黑体"/>
                <w:color w:val="000000"/>
                <w:sz w:val="28"/>
                <w:szCs w:val="28"/>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3084" w:type="dxa"/>
            <w:vMerge w:val="continue"/>
            <w:tcBorders>
              <w:left w:val="nil"/>
            </w:tcBorders>
            <w:noWrap w:val="0"/>
            <w:vAlign w:val="center"/>
          </w:tcPr>
          <w:p>
            <w:pPr>
              <w:adjustRightInd w:val="0"/>
              <w:snapToGrid w:val="0"/>
              <w:ind w:left="-250"/>
              <w:jc w:val="center"/>
              <w:rPr>
                <w:rFonts w:ascii="黑体" w:hAnsi="黑体" w:eastAsia="黑体"/>
                <w:color w:val="000000"/>
                <w:sz w:val="28"/>
                <w:szCs w:val="28"/>
              </w:rPr>
            </w:pPr>
          </w:p>
        </w:tc>
        <w:tc>
          <w:tcPr>
            <w:tcW w:w="1276" w:type="dxa"/>
            <w:vMerge w:val="continue"/>
            <w:noWrap w:val="0"/>
            <w:vAlign w:val="top"/>
          </w:tcPr>
          <w:p>
            <w:pPr>
              <w:adjustRightInd w:val="0"/>
              <w:snapToGrid w:val="0"/>
              <w:ind w:firstLine="207" w:firstLineChars="74"/>
              <w:jc w:val="center"/>
              <w:rPr>
                <w:rFonts w:ascii="黑体" w:hAnsi="黑体" w:eastAsia="黑体"/>
                <w:color w:val="000000"/>
                <w:sz w:val="28"/>
                <w:szCs w:val="28"/>
              </w:rPr>
            </w:pPr>
          </w:p>
        </w:tc>
        <w:tc>
          <w:tcPr>
            <w:tcW w:w="1276" w:type="dxa"/>
            <w:noWrap w:val="0"/>
            <w:vAlign w:val="center"/>
          </w:tcPr>
          <w:p>
            <w:pPr>
              <w:adjustRightInd w:val="0"/>
              <w:snapToGrid w:val="0"/>
              <w:jc w:val="center"/>
              <w:rPr>
                <w:rFonts w:ascii="黑体" w:hAnsi="黑体" w:eastAsia="黑体"/>
                <w:color w:val="000000"/>
                <w:sz w:val="28"/>
                <w:szCs w:val="28"/>
              </w:rPr>
            </w:pPr>
            <w:r>
              <w:rPr>
                <w:rFonts w:ascii="黑体" w:hAnsi="黑体" w:eastAsia="黑体"/>
                <w:color w:val="000000"/>
                <w:sz w:val="28"/>
                <w:szCs w:val="28"/>
              </w:rPr>
              <w:t>预计</w:t>
            </w:r>
          </w:p>
          <w:p>
            <w:pPr>
              <w:adjustRightInd w:val="0"/>
              <w:snapToGrid w:val="0"/>
              <w:jc w:val="center"/>
              <w:rPr>
                <w:rFonts w:ascii="黑体" w:hAnsi="黑体" w:eastAsia="黑体"/>
                <w:color w:val="000000"/>
                <w:spacing w:val="-20"/>
                <w:sz w:val="24"/>
                <w:szCs w:val="24"/>
              </w:rPr>
            </w:pPr>
            <w:r>
              <w:rPr>
                <w:rFonts w:ascii="黑体" w:hAnsi="黑体" w:eastAsia="黑体"/>
                <w:color w:val="000000"/>
                <w:sz w:val="28"/>
                <w:szCs w:val="28"/>
              </w:rPr>
              <w:t>完成</w:t>
            </w:r>
          </w:p>
        </w:tc>
        <w:tc>
          <w:tcPr>
            <w:tcW w:w="807" w:type="dxa"/>
            <w:noWrap w:val="0"/>
            <w:vAlign w:val="center"/>
          </w:tcPr>
          <w:p>
            <w:pPr>
              <w:adjustRightInd w:val="0"/>
              <w:snapToGrid w:val="0"/>
              <w:jc w:val="center"/>
              <w:rPr>
                <w:rFonts w:ascii="黑体" w:hAnsi="黑体" w:eastAsia="黑体"/>
                <w:color w:val="000000"/>
                <w:sz w:val="28"/>
                <w:szCs w:val="28"/>
              </w:rPr>
            </w:pPr>
            <w:r>
              <w:rPr>
                <w:rFonts w:ascii="黑体" w:hAnsi="黑体" w:eastAsia="黑体"/>
                <w:color w:val="000000"/>
                <w:sz w:val="28"/>
                <w:szCs w:val="28"/>
              </w:rPr>
              <w:t>同比</w:t>
            </w:r>
          </w:p>
          <w:p>
            <w:pPr>
              <w:adjustRightInd w:val="0"/>
              <w:snapToGrid w:val="0"/>
              <w:jc w:val="center"/>
              <w:rPr>
                <w:rFonts w:ascii="黑体" w:hAnsi="黑体" w:eastAsia="黑体"/>
                <w:color w:val="000000"/>
                <w:sz w:val="28"/>
                <w:szCs w:val="28"/>
              </w:rPr>
            </w:pPr>
            <w:r>
              <w:rPr>
                <w:rFonts w:ascii="黑体" w:hAnsi="黑体" w:eastAsia="黑体"/>
                <w:color w:val="000000"/>
                <w:sz w:val="28"/>
                <w:szCs w:val="28"/>
              </w:rPr>
              <w:t>增长</w:t>
            </w:r>
          </w:p>
          <w:p>
            <w:pPr>
              <w:adjustRightInd w:val="0"/>
              <w:snapToGrid w:val="0"/>
              <w:jc w:val="center"/>
              <w:rPr>
                <w:rFonts w:ascii="黑体" w:hAnsi="黑体" w:eastAsia="黑体"/>
                <w:color w:val="000000"/>
                <w:sz w:val="28"/>
                <w:szCs w:val="28"/>
              </w:rPr>
            </w:pPr>
            <w:r>
              <w:rPr>
                <w:rFonts w:ascii="黑体" w:hAnsi="黑体" w:eastAsia="黑体"/>
                <w:color w:val="000000"/>
                <w:sz w:val="28"/>
                <w:szCs w:val="28"/>
              </w:rPr>
              <w:t>（%）</w:t>
            </w:r>
          </w:p>
        </w:tc>
        <w:tc>
          <w:tcPr>
            <w:tcW w:w="1701" w:type="dxa"/>
            <w:noWrap w:val="0"/>
            <w:vAlign w:val="center"/>
          </w:tcPr>
          <w:p>
            <w:pPr>
              <w:adjustRightInd w:val="0"/>
              <w:snapToGrid w:val="0"/>
              <w:jc w:val="center"/>
              <w:rPr>
                <w:rFonts w:ascii="黑体" w:hAnsi="黑体" w:eastAsia="黑体"/>
                <w:color w:val="000000"/>
                <w:sz w:val="28"/>
                <w:szCs w:val="28"/>
              </w:rPr>
            </w:pPr>
            <w:r>
              <w:rPr>
                <w:rFonts w:ascii="黑体" w:hAnsi="黑体" w:eastAsia="黑体"/>
                <w:color w:val="000000"/>
                <w:sz w:val="28"/>
                <w:szCs w:val="28"/>
              </w:rPr>
              <w:t>计划</w:t>
            </w:r>
          </w:p>
          <w:p>
            <w:pPr>
              <w:adjustRightInd w:val="0"/>
              <w:snapToGrid w:val="0"/>
              <w:jc w:val="center"/>
              <w:rPr>
                <w:rFonts w:ascii="黑体" w:hAnsi="黑体" w:eastAsia="黑体"/>
                <w:color w:val="000000"/>
                <w:sz w:val="28"/>
                <w:szCs w:val="28"/>
              </w:rPr>
            </w:pPr>
            <w:r>
              <w:rPr>
                <w:rFonts w:ascii="黑体" w:hAnsi="黑体" w:eastAsia="黑体"/>
                <w:color w:val="000000"/>
                <w:sz w:val="28"/>
                <w:szCs w:val="28"/>
              </w:rPr>
              <w:t>建议</w:t>
            </w:r>
          </w:p>
        </w:tc>
        <w:tc>
          <w:tcPr>
            <w:tcW w:w="1423" w:type="dxa"/>
            <w:tcBorders>
              <w:right w:val="nil"/>
            </w:tcBorders>
            <w:noWrap w:val="0"/>
            <w:vAlign w:val="center"/>
          </w:tcPr>
          <w:p>
            <w:pPr>
              <w:adjustRightInd w:val="0"/>
              <w:snapToGrid w:val="0"/>
              <w:jc w:val="center"/>
              <w:rPr>
                <w:rFonts w:ascii="黑体" w:hAnsi="黑体" w:eastAsia="黑体"/>
                <w:color w:val="000000"/>
                <w:sz w:val="28"/>
                <w:szCs w:val="28"/>
              </w:rPr>
            </w:pPr>
            <w:r>
              <w:rPr>
                <w:rFonts w:ascii="黑体" w:hAnsi="黑体" w:eastAsia="黑体"/>
                <w:color w:val="000000"/>
                <w:sz w:val="28"/>
                <w:szCs w:val="28"/>
              </w:rPr>
              <w:t>同比</w:t>
            </w:r>
          </w:p>
          <w:p>
            <w:pPr>
              <w:adjustRightInd w:val="0"/>
              <w:snapToGrid w:val="0"/>
              <w:jc w:val="center"/>
              <w:rPr>
                <w:rFonts w:ascii="黑体" w:hAnsi="黑体" w:eastAsia="黑体"/>
                <w:color w:val="000000"/>
                <w:sz w:val="28"/>
                <w:szCs w:val="28"/>
              </w:rPr>
            </w:pPr>
            <w:r>
              <w:rPr>
                <w:rFonts w:ascii="黑体" w:hAnsi="黑体" w:eastAsia="黑体"/>
                <w:color w:val="000000"/>
                <w:sz w:val="28"/>
                <w:szCs w:val="28"/>
              </w:rPr>
              <w:t>增长</w:t>
            </w:r>
          </w:p>
          <w:p>
            <w:pPr>
              <w:adjustRightInd w:val="0"/>
              <w:snapToGrid w:val="0"/>
              <w:jc w:val="center"/>
              <w:rPr>
                <w:rFonts w:ascii="黑体" w:hAnsi="黑体" w:eastAsia="黑体"/>
                <w:color w:val="000000"/>
                <w:sz w:val="28"/>
                <w:szCs w:val="28"/>
              </w:rPr>
            </w:pPr>
            <w:r>
              <w:rPr>
                <w:rFonts w:ascii="黑体" w:hAnsi="黑体" w:eastAsia="黑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567" w:type="dxa"/>
            <w:gridSpan w:val="6"/>
            <w:tcBorders>
              <w:left w:val="nil"/>
              <w:right w:val="nil"/>
            </w:tcBorders>
            <w:noWrap w:val="0"/>
            <w:vAlign w:val="center"/>
          </w:tcPr>
          <w:p>
            <w:pPr>
              <w:adjustRightInd w:val="0"/>
              <w:snapToGrid w:val="0"/>
              <w:rPr>
                <w:rFonts w:ascii="黑体" w:hAnsi="黑体" w:eastAsia="黑体"/>
                <w:color w:val="000000"/>
                <w:sz w:val="28"/>
                <w:szCs w:val="28"/>
              </w:rPr>
            </w:pPr>
            <w:r>
              <w:rPr>
                <w:rFonts w:ascii="黑体" w:hAnsi="黑体" w:eastAsia="黑体"/>
                <w:color w:val="000000"/>
                <w:sz w:val="28"/>
                <w:szCs w:val="28"/>
              </w:rPr>
              <w:t>一、预期性目标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84" w:type="dxa"/>
            <w:tcBorders>
              <w:left w:val="nil"/>
            </w:tcBorders>
            <w:noWrap w:val="0"/>
            <w:vAlign w:val="center"/>
          </w:tcPr>
          <w:p>
            <w:pPr>
              <w:adjustRightInd w:val="0"/>
              <w:snapToGrid w:val="0"/>
              <w:rPr>
                <w:rFonts w:ascii="仿宋" w:hAnsi="仿宋" w:eastAsia="仿宋"/>
                <w:color w:val="000000"/>
                <w:sz w:val="28"/>
                <w:szCs w:val="28"/>
              </w:rPr>
            </w:pPr>
            <w:r>
              <w:rPr>
                <w:rFonts w:ascii="仿宋" w:hAnsi="仿宋" w:eastAsia="仿宋"/>
                <w:color w:val="000000"/>
                <w:sz w:val="28"/>
                <w:szCs w:val="28"/>
              </w:rPr>
              <w:t>1、本区生产总值</w:t>
            </w:r>
          </w:p>
        </w:tc>
        <w:tc>
          <w:tcPr>
            <w:tcW w:w="1276" w:type="dxa"/>
            <w:noWrap w:val="0"/>
            <w:vAlign w:val="center"/>
          </w:tcPr>
          <w:p>
            <w:pPr>
              <w:adjustRightInd w:val="0"/>
              <w:snapToGrid w:val="0"/>
              <w:ind w:left="-249"/>
              <w:jc w:val="center"/>
              <w:rPr>
                <w:rFonts w:ascii="仿宋" w:hAnsi="仿宋" w:eastAsia="仿宋"/>
                <w:color w:val="000000"/>
                <w:sz w:val="28"/>
                <w:szCs w:val="28"/>
              </w:rPr>
            </w:pPr>
            <w:r>
              <w:rPr>
                <w:rFonts w:ascii="仿宋" w:hAnsi="仿宋" w:eastAsia="仿宋"/>
                <w:color w:val="000000"/>
                <w:sz w:val="28"/>
                <w:szCs w:val="28"/>
              </w:rPr>
              <w:t xml:space="preserve">  亿元</w:t>
            </w:r>
          </w:p>
        </w:tc>
        <w:tc>
          <w:tcPr>
            <w:tcW w:w="1276"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3260</w:t>
            </w:r>
          </w:p>
        </w:tc>
        <w:tc>
          <w:tcPr>
            <w:tcW w:w="807"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9.0</w:t>
            </w:r>
          </w:p>
        </w:tc>
        <w:tc>
          <w:tcPr>
            <w:tcW w:w="1701"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3560</w:t>
            </w:r>
            <w:r>
              <w:rPr>
                <w:rFonts w:hint="eastAsia" w:ascii="仿宋" w:hAnsi="仿宋" w:eastAsia="仿宋"/>
                <w:color w:val="000000"/>
                <w:sz w:val="28"/>
                <w:szCs w:val="28"/>
              </w:rPr>
              <w:t>-</w:t>
            </w:r>
            <w:r>
              <w:rPr>
                <w:rFonts w:ascii="仿宋" w:hAnsi="仿宋" w:eastAsia="仿宋"/>
                <w:color w:val="000000"/>
                <w:sz w:val="28"/>
                <w:szCs w:val="28"/>
              </w:rPr>
              <w:t>3570</w:t>
            </w:r>
          </w:p>
        </w:tc>
        <w:tc>
          <w:tcPr>
            <w:tcW w:w="1423" w:type="dxa"/>
            <w:tcBorders>
              <w:right w:val="nil"/>
            </w:tcBorders>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8.2</w:t>
            </w:r>
            <w:r>
              <w:rPr>
                <w:rFonts w:hint="eastAsia" w:ascii="仿宋" w:hAnsi="仿宋" w:eastAsia="仿宋"/>
                <w:color w:val="000000"/>
                <w:sz w:val="28"/>
                <w:szCs w:val="28"/>
              </w:rPr>
              <w:t>-</w:t>
            </w:r>
            <w:r>
              <w:rPr>
                <w:rFonts w:ascii="仿宋" w:hAnsi="仿宋" w:eastAsia="仿宋"/>
                <w:color w:val="000000"/>
                <w:sz w:val="28"/>
                <w:szCs w:val="28"/>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84" w:type="dxa"/>
            <w:tcBorders>
              <w:left w:val="nil"/>
            </w:tcBorders>
            <w:noWrap w:val="0"/>
            <w:vAlign w:val="center"/>
          </w:tcPr>
          <w:p>
            <w:pPr>
              <w:adjustRightInd w:val="0"/>
              <w:snapToGrid w:val="0"/>
              <w:ind w:firstLine="560" w:firstLineChars="200"/>
              <w:jc w:val="left"/>
              <w:rPr>
                <w:rFonts w:ascii="仿宋" w:hAnsi="仿宋" w:eastAsia="仿宋"/>
                <w:color w:val="000000"/>
                <w:sz w:val="28"/>
                <w:szCs w:val="28"/>
              </w:rPr>
            </w:pPr>
            <w:r>
              <w:rPr>
                <w:rFonts w:ascii="仿宋" w:hAnsi="仿宋" w:eastAsia="仿宋"/>
                <w:color w:val="000000"/>
                <w:sz w:val="28"/>
                <w:szCs w:val="28"/>
              </w:rPr>
              <w:t>其中:第三产业</w:t>
            </w:r>
          </w:p>
        </w:tc>
        <w:tc>
          <w:tcPr>
            <w:tcW w:w="1276" w:type="dxa"/>
            <w:noWrap w:val="0"/>
            <w:vAlign w:val="center"/>
          </w:tcPr>
          <w:p>
            <w:pPr>
              <w:adjustRightInd w:val="0"/>
              <w:snapToGrid w:val="0"/>
              <w:ind w:left="-249"/>
              <w:jc w:val="center"/>
              <w:rPr>
                <w:rFonts w:ascii="仿宋" w:hAnsi="仿宋" w:eastAsia="仿宋"/>
                <w:color w:val="000000"/>
                <w:sz w:val="28"/>
                <w:szCs w:val="28"/>
              </w:rPr>
            </w:pPr>
            <w:r>
              <w:rPr>
                <w:rFonts w:ascii="仿宋" w:hAnsi="仿宋" w:eastAsia="仿宋"/>
                <w:color w:val="000000"/>
                <w:sz w:val="28"/>
                <w:szCs w:val="28"/>
              </w:rPr>
              <w:t xml:space="preserve">  亿元</w:t>
            </w:r>
          </w:p>
        </w:tc>
        <w:tc>
          <w:tcPr>
            <w:tcW w:w="1276"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3050</w:t>
            </w:r>
          </w:p>
        </w:tc>
        <w:tc>
          <w:tcPr>
            <w:tcW w:w="807"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9.1</w:t>
            </w:r>
          </w:p>
        </w:tc>
        <w:tc>
          <w:tcPr>
            <w:tcW w:w="1701"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3325</w:t>
            </w:r>
            <w:r>
              <w:rPr>
                <w:rFonts w:hint="eastAsia" w:ascii="仿宋" w:hAnsi="仿宋" w:eastAsia="仿宋"/>
                <w:color w:val="000000"/>
                <w:sz w:val="28"/>
                <w:szCs w:val="28"/>
              </w:rPr>
              <w:t>-</w:t>
            </w:r>
            <w:r>
              <w:rPr>
                <w:rFonts w:ascii="仿宋" w:hAnsi="仿宋" w:eastAsia="仿宋"/>
                <w:color w:val="000000"/>
                <w:sz w:val="28"/>
                <w:szCs w:val="28"/>
              </w:rPr>
              <w:t>3335</w:t>
            </w:r>
          </w:p>
        </w:tc>
        <w:tc>
          <w:tcPr>
            <w:tcW w:w="1423" w:type="dxa"/>
            <w:tcBorders>
              <w:right w:val="nil"/>
            </w:tcBorders>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8.3</w:t>
            </w:r>
            <w:r>
              <w:rPr>
                <w:rFonts w:hint="eastAsia" w:ascii="仿宋" w:hAnsi="仿宋" w:eastAsia="仿宋"/>
                <w:color w:val="000000"/>
                <w:sz w:val="28"/>
                <w:szCs w:val="28"/>
              </w:rPr>
              <w:t>-</w:t>
            </w:r>
            <w:r>
              <w:rPr>
                <w:rFonts w:ascii="仿宋" w:hAnsi="仿宋" w:eastAsia="仿宋"/>
                <w:color w:val="000000"/>
                <w:sz w:val="28"/>
                <w:szCs w:val="28"/>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84" w:type="dxa"/>
            <w:tcBorders>
              <w:left w:val="nil"/>
            </w:tcBorders>
            <w:noWrap w:val="0"/>
            <w:vAlign w:val="center"/>
          </w:tcPr>
          <w:p>
            <w:pPr>
              <w:adjustRightInd w:val="0"/>
              <w:snapToGrid w:val="0"/>
              <w:ind w:left="115" w:hanging="114" w:hangingChars="41"/>
              <w:rPr>
                <w:rFonts w:ascii="仿宋" w:hAnsi="仿宋" w:eastAsia="仿宋"/>
                <w:color w:val="000000"/>
                <w:sz w:val="28"/>
                <w:szCs w:val="28"/>
              </w:rPr>
            </w:pPr>
            <w:r>
              <w:rPr>
                <w:rFonts w:ascii="仿宋" w:hAnsi="仿宋" w:eastAsia="仿宋"/>
                <w:color w:val="000000"/>
                <w:sz w:val="28"/>
                <w:szCs w:val="28"/>
              </w:rPr>
              <w:t xml:space="preserve">2、现代服务业增加值 </w:t>
            </w:r>
          </w:p>
        </w:tc>
        <w:tc>
          <w:tcPr>
            <w:tcW w:w="1276" w:type="dxa"/>
            <w:noWrap w:val="0"/>
            <w:vAlign w:val="center"/>
          </w:tcPr>
          <w:p>
            <w:pPr>
              <w:adjustRightInd w:val="0"/>
              <w:snapToGrid w:val="0"/>
              <w:ind w:left="34"/>
              <w:jc w:val="center"/>
              <w:rPr>
                <w:rFonts w:ascii="仿宋" w:hAnsi="仿宋" w:eastAsia="仿宋"/>
                <w:color w:val="000000"/>
                <w:sz w:val="28"/>
                <w:szCs w:val="28"/>
              </w:rPr>
            </w:pPr>
            <w:r>
              <w:rPr>
                <w:rFonts w:ascii="仿宋" w:hAnsi="仿宋" w:eastAsia="仿宋"/>
                <w:color w:val="000000"/>
                <w:sz w:val="28"/>
                <w:szCs w:val="28"/>
              </w:rPr>
              <w:t>亿元</w:t>
            </w:r>
          </w:p>
        </w:tc>
        <w:tc>
          <w:tcPr>
            <w:tcW w:w="1276"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2285</w:t>
            </w:r>
          </w:p>
        </w:tc>
        <w:tc>
          <w:tcPr>
            <w:tcW w:w="807"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10.0</w:t>
            </w:r>
          </w:p>
        </w:tc>
        <w:tc>
          <w:tcPr>
            <w:tcW w:w="1701"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2492</w:t>
            </w:r>
            <w:r>
              <w:rPr>
                <w:rFonts w:hint="eastAsia" w:ascii="仿宋" w:hAnsi="仿宋" w:eastAsia="仿宋"/>
                <w:color w:val="000000"/>
                <w:sz w:val="28"/>
                <w:szCs w:val="28"/>
              </w:rPr>
              <w:t>-</w:t>
            </w:r>
            <w:r>
              <w:rPr>
                <w:rFonts w:ascii="仿宋" w:hAnsi="仿宋" w:eastAsia="仿宋"/>
                <w:color w:val="000000"/>
                <w:sz w:val="28"/>
                <w:szCs w:val="28"/>
              </w:rPr>
              <w:t>2500</w:t>
            </w:r>
          </w:p>
        </w:tc>
        <w:tc>
          <w:tcPr>
            <w:tcW w:w="1423" w:type="dxa"/>
            <w:tcBorders>
              <w:right w:val="nil"/>
            </w:tcBorders>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9.2</w:t>
            </w:r>
            <w:r>
              <w:rPr>
                <w:rFonts w:hint="eastAsia" w:ascii="仿宋" w:hAnsi="仿宋" w:eastAsia="仿宋"/>
                <w:color w:val="000000"/>
                <w:sz w:val="28"/>
                <w:szCs w:val="28"/>
              </w:rPr>
              <w:t>-</w:t>
            </w:r>
            <w:r>
              <w:rPr>
                <w:rFonts w:ascii="仿宋" w:hAnsi="仿宋" w:eastAsia="仿宋"/>
                <w:color w:val="000000"/>
                <w:sz w:val="28"/>
                <w:szCs w:val="2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84" w:type="dxa"/>
            <w:tcBorders>
              <w:left w:val="nil"/>
            </w:tcBorders>
            <w:noWrap w:val="0"/>
            <w:vAlign w:val="center"/>
          </w:tcPr>
          <w:p>
            <w:pPr>
              <w:adjustRightInd w:val="0"/>
              <w:snapToGrid w:val="0"/>
              <w:ind w:left="115" w:hanging="114" w:hangingChars="41"/>
              <w:rPr>
                <w:rFonts w:ascii="仿宋" w:hAnsi="仿宋" w:eastAsia="仿宋"/>
                <w:color w:val="000000"/>
                <w:sz w:val="28"/>
                <w:szCs w:val="28"/>
              </w:rPr>
            </w:pPr>
            <w:r>
              <w:rPr>
                <w:rFonts w:ascii="仿宋" w:hAnsi="仿宋" w:eastAsia="仿宋"/>
                <w:color w:val="000000"/>
                <w:sz w:val="28"/>
                <w:szCs w:val="28"/>
              </w:rPr>
              <w:t>3、社会消费品零售总额</w:t>
            </w:r>
          </w:p>
        </w:tc>
        <w:tc>
          <w:tcPr>
            <w:tcW w:w="1276" w:type="dxa"/>
            <w:noWrap w:val="0"/>
            <w:vAlign w:val="center"/>
          </w:tcPr>
          <w:p>
            <w:pPr>
              <w:adjustRightInd w:val="0"/>
              <w:snapToGrid w:val="0"/>
              <w:ind w:left="-249"/>
              <w:jc w:val="center"/>
              <w:rPr>
                <w:rFonts w:ascii="仿宋" w:hAnsi="仿宋" w:eastAsia="仿宋"/>
                <w:color w:val="000000"/>
                <w:sz w:val="28"/>
                <w:szCs w:val="28"/>
              </w:rPr>
            </w:pPr>
            <w:r>
              <w:rPr>
                <w:rFonts w:ascii="仿宋" w:hAnsi="仿宋" w:eastAsia="仿宋"/>
                <w:color w:val="000000"/>
                <w:sz w:val="28"/>
                <w:szCs w:val="28"/>
              </w:rPr>
              <w:t xml:space="preserve">  亿元</w:t>
            </w:r>
          </w:p>
        </w:tc>
        <w:tc>
          <w:tcPr>
            <w:tcW w:w="1276"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1532</w:t>
            </w:r>
          </w:p>
        </w:tc>
        <w:tc>
          <w:tcPr>
            <w:tcW w:w="807"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1.5</w:t>
            </w:r>
          </w:p>
        </w:tc>
        <w:tc>
          <w:tcPr>
            <w:tcW w:w="1701"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1662</w:t>
            </w:r>
          </w:p>
        </w:tc>
        <w:tc>
          <w:tcPr>
            <w:tcW w:w="1423" w:type="dxa"/>
            <w:tcBorders>
              <w:right w:val="nil"/>
            </w:tcBorders>
            <w:noWrap w:val="0"/>
            <w:vAlign w:val="center"/>
          </w:tcPr>
          <w:p>
            <w:pPr>
              <w:snapToGrid w:val="0"/>
              <w:jc w:val="center"/>
              <w:rPr>
                <w:rFonts w:ascii="仿宋" w:hAnsi="仿宋" w:eastAsia="仿宋"/>
                <w:color w:val="000000"/>
                <w:sz w:val="28"/>
                <w:szCs w:val="28"/>
              </w:rPr>
            </w:pPr>
            <w:r>
              <w:rPr>
                <w:rFonts w:hint="eastAsia" w:ascii="仿宋" w:hAnsi="仿宋" w:eastAsia="仿宋"/>
                <w:color w:val="000000"/>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84" w:type="dxa"/>
            <w:tcBorders>
              <w:left w:val="nil"/>
            </w:tcBorders>
            <w:noWrap w:val="0"/>
            <w:vAlign w:val="center"/>
          </w:tcPr>
          <w:p>
            <w:pPr>
              <w:adjustRightInd w:val="0"/>
              <w:snapToGrid w:val="0"/>
              <w:ind w:left="115" w:hanging="114" w:hangingChars="41"/>
              <w:rPr>
                <w:rFonts w:ascii="仿宋" w:hAnsi="仿宋" w:eastAsia="仿宋"/>
                <w:color w:val="000000"/>
                <w:sz w:val="28"/>
                <w:szCs w:val="28"/>
              </w:rPr>
            </w:pPr>
            <w:r>
              <w:rPr>
                <w:rFonts w:ascii="仿宋" w:hAnsi="仿宋" w:eastAsia="仿宋"/>
                <w:color w:val="000000"/>
                <w:sz w:val="28"/>
                <w:szCs w:val="28"/>
              </w:rPr>
              <w:t>4、固定资产投资</w:t>
            </w:r>
          </w:p>
        </w:tc>
        <w:tc>
          <w:tcPr>
            <w:tcW w:w="1276" w:type="dxa"/>
            <w:noWrap w:val="0"/>
            <w:vAlign w:val="center"/>
          </w:tcPr>
          <w:p>
            <w:pPr>
              <w:adjustRightInd w:val="0"/>
              <w:snapToGrid w:val="0"/>
              <w:ind w:left="-249"/>
              <w:jc w:val="center"/>
              <w:rPr>
                <w:rFonts w:ascii="仿宋" w:hAnsi="仿宋" w:eastAsia="仿宋"/>
                <w:color w:val="000000"/>
                <w:sz w:val="28"/>
                <w:szCs w:val="28"/>
              </w:rPr>
            </w:pPr>
            <w:r>
              <w:rPr>
                <w:rFonts w:ascii="仿宋" w:hAnsi="仿宋" w:eastAsia="仿宋"/>
                <w:color w:val="000000"/>
                <w:sz w:val="28"/>
                <w:szCs w:val="28"/>
              </w:rPr>
              <w:t xml:space="preserve">  亿元</w:t>
            </w:r>
          </w:p>
        </w:tc>
        <w:tc>
          <w:tcPr>
            <w:tcW w:w="1276"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220</w:t>
            </w:r>
          </w:p>
        </w:tc>
        <w:tc>
          <w:tcPr>
            <w:tcW w:w="807"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21.4</w:t>
            </w:r>
          </w:p>
        </w:tc>
        <w:tc>
          <w:tcPr>
            <w:tcW w:w="1701"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253</w:t>
            </w:r>
          </w:p>
        </w:tc>
        <w:tc>
          <w:tcPr>
            <w:tcW w:w="1423" w:type="dxa"/>
            <w:tcBorders>
              <w:right w:val="nil"/>
            </w:tcBorders>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84" w:type="dxa"/>
            <w:tcBorders>
              <w:left w:val="nil"/>
            </w:tcBorders>
            <w:noWrap w:val="0"/>
            <w:vAlign w:val="center"/>
          </w:tcPr>
          <w:p>
            <w:pPr>
              <w:adjustRightInd w:val="0"/>
              <w:snapToGrid w:val="0"/>
              <w:ind w:left="115" w:hanging="114" w:hangingChars="41"/>
              <w:rPr>
                <w:rFonts w:ascii="仿宋" w:hAnsi="仿宋" w:eastAsia="仿宋"/>
                <w:color w:val="000000"/>
                <w:sz w:val="28"/>
                <w:szCs w:val="28"/>
              </w:rPr>
            </w:pPr>
            <w:r>
              <w:rPr>
                <w:rFonts w:ascii="仿宋" w:hAnsi="仿宋" w:eastAsia="仿宋"/>
                <w:color w:val="000000"/>
                <w:sz w:val="28"/>
                <w:szCs w:val="28"/>
              </w:rPr>
              <w:t>5、进出口总额</w:t>
            </w:r>
          </w:p>
        </w:tc>
        <w:tc>
          <w:tcPr>
            <w:tcW w:w="1276" w:type="dxa"/>
            <w:noWrap w:val="0"/>
            <w:vAlign w:val="center"/>
          </w:tcPr>
          <w:p>
            <w:pPr>
              <w:adjustRightInd w:val="0"/>
              <w:snapToGrid w:val="0"/>
              <w:ind w:left="-249"/>
              <w:jc w:val="center"/>
              <w:rPr>
                <w:rFonts w:ascii="仿宋" w:hAnsi="仿宋" w:eastAsia="仿宋"/>
                <w:color w:val="000000"/>
                <w:sz w:val="28"/>
                <w:szCs w:val="28"/>
              </w:rPr>
            </w:pPr>
            <w:r>
              <w:rPr>
                <w:rFonts w:ascii="仿宋" w:hAnsi="仿宋" w:eastAsia="仿宋"/>
                <w:color w:val="000000"/>
                <w:sz w:val="28"/>
                <w:szCs w:val="28"/>
              </w:rPr>
              <w:t xml:space="preserve">  亿美元</w:t>
            </w:r>
          </w:p>
        </w:tc>
        <w:tc>
          <w:tcPr>
            <w:tcW w:w="1276"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1130</w:t>
            </w:r>
          </w:p>
        </w:tc>
        <w:tc>
          <w:tcPr>
            <w:tcW w:w="807"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5.5</w:t>
            </w:r>
          </w:p>
        </w:tc>
        <w:tc>
          <w:tcPr>
            <w:tcW w:w="1701" w:type="dxa"/>
            <w:noWrap w:val="0"/>
            <w:vAlign w:val="center"/>
          </w:tcPr>
          <w:p>
            <w:pPr>
              <w:snapToGrid w:val="0"/>
              <w:ind w:firstLine="420" w:firstLineChars="150"/>
              <w:rPr>
                <w:rFonts w:ascii="仿宋" w:hAnsi="仿宋" w:eastAsia="仿宋"/>
                <w:color w:val="000000"/>
                <w:sz w:val="28"/>
                <w:szCs w:val="28"/>
              </w:rPr>
            </w:pPr>
            <w:r>
              <w:rPr>
                <w:rFonts w:ascii="仿宋" w:hAnsi="仿宋" w:eastAsia="仿宋"/>
                <w:color w:val="000000"/>
                <w:sz w:val="28"/>
                <w:szCs w:val="28"/>
              </w:rPr>
              <w:t>1170</w:t>
            </w:r>
          </w:p>
        </w:tc>
        <w:tc>
          <w:tcPr>
            <w:tcW w:w="1423" w:type="dxa"/>
            <w:tcBorders>
              <w:right w:val="nil"/>
            </w:tcBorders>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84" w:type="dxa"/>
            <w:tcBorders>
              <w:left w:val="nil"/>
            </w:tcBorders>
            <w:noWrap w:val="0"/>
            <w:vAlign w:val="center"/>
          </w:tcPr>
          <w:p>
            <w:pPr>
              <w:adjustRightInd w:val="0"/>
              <w:snapToGrid w:val="0"/>
              <w:ind w:left="115" w:hanging="114" w:hangingChars="41"/>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一般公共预算收入</w:t>
            </w:r>
          </w:p>
        </w:tc>
        <w:tc>
          <w:tcPr>
            <w:tcW w:w="1276" w:type="dxa"/>
            <w:noWrap w:val="0"/>
            <w:vAlign w:val="center"/>
          </w:tcPr>
          <w:p>
            <w:pPr>
              <w:adjustRightInd w:val="0"/>
              <w:snapToGrid w:val="0"/>
              <w:ind w:left="33"/>
              <w:jc w:val="center"/>
              <w:rPr>
                <w:rFonts w:ascii="仿宋" w:hAnsi="仿宋" w:eastAsia="仿宋"/>
                <w:color w:val="000000"/>
                <w:sz w:val="28"/>
                <w:szCs w:val="28"/>
              </w:rPr>
            </w:pPr>
            <w:r>
              <w:rPr>
                <w:rFonts w:ascii="仿宋" w:hAnsi="仿宋" w:eastAsia="仿宋"/>
                <w:color w:val="000000"/>
                <w:sz w:val="28"/>
                <w:szCs w:val="28"/>
              </w:rPr>
              <w:t>亿元</w:t>
            </w:r>
          </w:p>
        </w:tc>
        <w:tc>
          <w:tcPr>
            <w:tcW w:w="1276"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143</w:t>
            </w:r>
          </w:p>
        </w:tc>
        <w:tc>
          <w:tcPr>
            <w:tcW w:w="807"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19.0</w:t>
            </w:r>
          </w:p>
        </w:tc>
        <w:tc>
          <w:tcPr>
            <w:tcW w:w="1701" w:type="dxa"/>
            <w:noWrap w:val="0"/>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150</w:t>
            </w:r>
            <w:r>
              <w:rPr>
                <w:rFonts w:hint="eastAsia" w:ascii="仿宋" w:hAnsi="仿宋" w:eastAsia="仿宋"/>
                <w:color w:val="000000"/>
                <w:sz w:val="28"/>
                <w:szCs w:val="28"/>
              </w:rPr>
              <w:t>.42</w:t>
            </w:r>
          </w:p>
        </w:tc>
        <w:tc>
          <w:tcPr>
            <w:tcW w:w="1423" w:type="dxa"/>
            <w:tcBorders>
              <w:right w:val="nil"/>
            </w:tcBorders>
            <w:noWrap w:val="0"/>
            <w:vAlign w:val="center"/>
          </w:tcPr>
          <w:p>
            <w:pPr>
              <w:snapToGrid w:val="0"/>
              <w:jc w:val="center"/>
              <w:rPr>
                <w:rFonts w:ascii="仿宋" w:hAnsi="仿宋" w:eastAsia="仿宋"/>
                <w:color w:val="000000"/>
                <w:sz w:val="28"/>
                <w:szCs w:val="28"/>
              </w:rPr>
            </w:pPr>
            <w:r>
              <w:rPr>
                <w:rFonts w:hint="eastAsia" w:ascii="仿宋" w:hAnsi="仿宋" w:eastAsia="仿宋"/>
                <w:color w:val="000000"/>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567" w:type="dxa"/>
            <w:gridSpan w:val="6"/>
            <w:tcBorders>
              <w:left w:val="nil"/>
              <w:right w:val="nil"/>
            </w:tcBorders>
            <w:noWrap w:val="0"/>
            <w:vAlign w:val="center"/>
          </w:tcPr>
          <w:p>
            <w:pPr>
              <w:adjustRightInd w:val="0"/>
              <w:snapToGrid w:val="0"/>
              <w:rPr>
                <w:rFonts w:ascii="黑体" w:hAnsi="黑体" w:eastAsia="黑体"/>
                <w:color w:val="000000"/>
                <w:sz w:val="28"/>
                <w:szCs w:val="28"/>
              </w:rPr>
            </w:pPr>
            <w:r>
              <w:rPr>
                <w:rFonts w:ascii="黑体" w:hAnsi="黑体" w:eastAsia="黑体"/>
                <w:color w:val="000000"/>
                <w:sz w:val="28"/>
                <w:szCs w:val="28"/>
              </w:rPr>
              <w:t>二、约束性目标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84" w:type="dxa"/>
            <w:tcBorders>
              <w:left w:val="nil"/>
            </w:tcBorders>
            <w:noWrap w:val="0"/>
            <w:vAlign w:val="center"/>
          </w:tcPr>
          <w:p>
            <w:pPr>
              <w:adjustRightInd w:val="0"/>
              <w:snapToGrid w:val="0"/>
              <w:ind w:left="115" w:hanging="114" w:hangingChars="41"/>
              <w:rPr>
                <w:rFonts w:ascii="仿宋" w:hAnsi="仿宋" w:eastAsia="仿宋"/>
                <w:color w:val="000000"/>
                <w:sz w:val="28"/>
                <w:szCs w:val="28"/>
              </w:rPr>
            </w:pPr>
            <w:r>
              <w:rPr>
                <w:rFonts w:ascii="仿宋" w:hAnsi="仿宋" w:eastAsia="仿宋"/>
                <w:color w:val="000000"/>
                <w:sz w:val="28"/>
                <w:szCs w:val="28"/>
              </w:rPr>
              <w:t>7、城镇居民登记失业率</w:t>
            </w:r>
          </w:p>
        </w:tc>
        <w:tc>
          <w:tcPr>
            <w:tcW w:w="1276" w:type="dxa"/>
            <w:noWrap w:val="0"/>
            <w:vAlign w:val="center"/>
          </w:tcPr>
          <w:p>
            <w:pPr>
              <w:adjustRightInd w:val="0"/>
              <w:snapToGrid w:val="0"/>
              <w:ind w:left="-249"/>
              <w:jc w:val="center"/>
              <w:rPr>
                <w:rFonts w:ascii="仿宋" w:hAnsi="仿宋" w:eastAsia="仿宋"/>
                <w:color w:val="000000"/>
                <w:sz w:val="28"/>
                <w:szCs w:val="28"/>
              </w:rPr>
            </w:pPr>
            <w:r>
              <w:rPr>
                <w:rFonts w:ascii="仿宋" w:hAnsi="仿宋" w:eastAsia="仿宋"/>
                <w:color w:val="000000"/>
                <w:sz w:val="28"/>
                <w:szCs w:val="28"/>
              </w:rPr>
              <w:t xml:space="preserve">  %</w:t>
            </w:r>
          </w:p>
        </w:tc>
        <w:tc>
          <w:tcPr>
            <w:tcW w:w="2083" w:type="dxa"/>
            <w:gridSpan w:val="2"/>
            <w:noWrap w:val="0"/>
            <w:vAlign w:val="center"/>
          </w:tcPr>
          <w:p>
            <w:pPr>
              <w:adjustRightInd w:val="0"/>
              <w:snapToGrid w:val="0"/>
              <w:ind w:left="-249"/>
              <w:jc w:val="right"/>
              <w:rPr>
                <w:rFonts w:ascii="仿宋" w:hAnsi="仿宋" w:eastAsia="仿宋"/>
                <w:color w:val="000000"/>
                <w:sz w:val="28"/>
                <w:szCs w:val="28"/>
              </w:rPr>
            </w:pPr>
            <w:r>
              <w:rPr>
                <w:rFonts w:ascii="仿宋" w:hAnsi="仿宋" w:eastAsia="仿宋"/>
                <w:color w:val="000000"/>
                <w:sz w:val="28"/>
                <w:szCs w:val="28"/>
              </w:rPr>
              <w:t>2%以内</w:t>
            </w:r>
          </w:p>
        </w:tc>
        <w:tc>
          <w:tcPr>
            <w:tcW w:w="3124" w:type="dxa"/>
            <w:gridSpan w:val="2"/>
            <w:tcBorders>
              <w:right w:val="nil"/>
            </w:tcBorders>
            <w:noWrap w:val="0"/>
            <w:vAlign w:val="center"/>
          </w:tcPr>
          <w:p>
            <w:pPr>
              <w:adjustRightInd w:val="0"/>
              <w:snapToGrid w:val="0"/>
              <w:ind w:left="-249"/>
              <w:jc w:val="right"/>
              <w:rPr>
                <w:rFonts w:ascii="仿宋" w:hAnsi="仿宋" w:eastAsia="仿宋"/>
                <w:color w:val="000000"/>
                <w:sz w:val="28"/>
                <w:szCs w:val="28"/>
              </w:rPr>
            </w:pPr>
            <w:r>
              <w:rPr>
                <w:rFonts w:ascii="仿宋" w:hAnsi="仿宋" w:eastAsia="仿宋"/>
                <w:color w:val="000000"/>
                <w:sz w:val="28"/>
                <w:szCs w:val="28"/>
              </w:rPr>
              <w:t>3%以内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84" w:type="dxa"/>
            <w:tcBorders>
              <w:left w:val="nil"/>
            </w:tcBorders>
            <w:noWrap w:val="0"/>
            <w:vAlign w:val="center"/>
          </w:tcPr>
          <w:p>
            <w:pPr>
              <w:adjustRightInd w:val="0"/>
              <w:snapToGrid w:val="0"/>
              <w:ind w:left="62" w:hanging="61" w:hangingChars="22"/>
              <w:rPr>
                <w:rFonts w:ascii="仿宋" w:hAnsi="仿宋" w:eastAsia="仿宋"/>
                <w:color w:val="000000"/>
                <w:sz w:val="28"/>
                <w:szCs w:val="28"/>
              </w:rPr>
            </w:pPr>
            <w:r>
              <w:rPr>
                <w:rFonts w:ascii="仿宋" w:hAnsi="仿宋" w:eastAsia="仿宋"/>
                <w:color w:val="000000"/>
                <w:sz w:val="28"/>
                <w:szCs w:val="28"/>
              </w:rPr>
              <w:t>8、单位GDP建设用地</w:t>
            </w:r>
          </w:p>
        </w:tc>
        <w:tc>
          <w:tcPr>
            <w:tcW w:w="1276" w:type="dxa"/>
            <w:noWrap w:val="0"/>
            <w:vAlign w:val="center"/>
          </w:tcPr>
          <w:p>
            <w:pPr>
              <w:adjustRightInd w:val="0"/>
              <w:snapToGrid w:val="0"/>
              <w:ind w:left="-249" w:firstLine="288" w:firstLineChars="103"/>
              <w:jc w:val="center"/>
              <w:rPr>
                <w:rFonts w:ascii="仿宋" w:hAnsi="仿宋" w:eastAsia="仿宋"/>
                <w:color w:val="000000"/>
                <w:sz w:val="28"/>
                <w:szCs w:val="28"/>
              </w:rPr>
            </w:pPr>
            <w:r>
              <w:rPr>
                <w:rFonts w:ascii="仿宋" w:hAnsi="仿宋" w:eastAsia="仿宋"/>
                <w:color w:val="000000"/>
                <w:sz w:val="28"/>
                <w:szCs w:val="28"/>
              </w:rPr>
              <w:t>平方米/万元</w:t>
            </w:r>
          </w:p>
        </w:tc>
        <w:tc>
          <w:tcPr>
            <w:tcW w:w="1276" w:type="dxa"/>
            <w:noWrap w:val="0"/>
            <w:vAlign w:val="center"/>
          </w:tcPr>
          <w:p>
            <w:pPr>
              <w:snapToGrid w:val="0"/>
              <w:jc w:val="right"/>
              <w:rPr>
                <w:rFonts w:ascii="仿宋" w:hAnsi="仿宋" w:eastAsia="仿宋"/>
                <w:color w:val="000000"/>
                <w:sz w:val="28"/>
                <w:szCs w:val="28"/>
              </w:rPr>
            </w:pPr>
            <w:r>
              <w:rPr>
                <w:rFonts w:ascii="仿宋" w:hAnsi="仿宋" w:eastAsia="仿宋"/>
                <w:color w:val="000000"/>
                <w:sz w:val="28"/>
                <w:szCs w:val="28"/>
              </w:rPr>
              <w:t>1.74</w:t>
            </w:r>
          </w:p>
        </w:tc>
        <w:tc>
          <w:tcPr>
            <w:tcW w:w="807" w:type="dxa"/>
            <w:noWrap w:val="0"/>
            <w:vAlign w:val="center"/>
          </w:tcPr>
          <w:p>
            <w:pPr>
              <w:snapToGrid w:val="0"/>
              <w:jc w:val="right"/>
              <w:rPr>
                <w:rFonts w:ascii="仿宋" w:hAnsi="仿宋" w:eastAsia="仿宋"/>
                <w:color w:val="000000"/>
                <w:sz w:val="28"/>
                <w:szCs w:val="28"/>
              </w:rPr>
            </w:pPr>
            <w:r>
              <w:rPr>
                <w:rFonts w:ascii="仿宋" w:hAnsi="仿宋" w:eastAsia="仿宋"/>
                <w:color w:val="000000"/>
                <w:sz w:val="28"/>
                <w:szCs w:val="28"/>
              </w:rPr>
              <w:t>下降8.3%</w:t>
            </w:r>
          </w:p>
        </w:tc>
        <w:tc>
          <w:tcPr>
            <w:tcW w:w="1701" w:type="dxa"/>
            <w:noWrap w:val="0"/>
            <w:vAlign w:val="center"/>
          </w:tcPr>
          <w:p>
            <w:pPr>
              <w:snapToGrid w:val="0"/>
              <w:jc w:val="right"/>
              <w:rPr>
                <w:rFonts w:ascii="仿宋" w:hAnsi="仿宋" w:eastAsia="仿宋"/>
                <w:color w:val="000000"/>
                <w:sz w:val="28"/>
                <w:szCs w:val="28"/>
              </w:rPr>
            </w:pPr>
            <w:r>
              <w:rPr>
                <w:rFonts w:ascii="仿宋" w:hAnsi="仿宋" w:eastAsia="仿宋"/>
                <w:color w:val="000000"/>
                <w:sz w:val="28"/>
                <w:szCs w:val="28"/>
              </w:rPr>
              <w:t>—</w:t>
            </w:r>
          </w:p>
        </w:tc>
        <w:tc>
          <w:tcPr>
            <w:tcW w:w="1423" w:type="dxa"/>
            <w:tcBorders>
              <w:right w:val="nil"/>
            </w:tcBorders>
            <w:noWrap w:val="0"/>
            <w:vAlign w:val="center"/>
          </w:tcPr>
          <w:p>
            <w:pPr>
              <w:snapToGrid w:val="0"/>
              <w:jc w:val="right"/>
              <w:rPr>
                <w:rFonts w:hint="eastAsia" w:ascii="仿宋" w:hAnsi="仿宋" w:eastAsia="仿宋"/>
                <w:color w:val="000000"/>
                <w:sz w:val="28"/>
                <w:szCs w:val="28"/>
              </w:rPr>
            </w:pPr>
            <w:r>
              <w:rPr>
                <w:rFonts w:hint="eastAsia" w:ascii="仿宋" w:hAnsi="仿宋" w:eastAsia="仿宋"/>
                <w:color w:val="000000"/>
                <w:sz w:val="28"/>
                <w:szCs w:val="28"/>
              </w:rPr>
              <w:t>下降8.5%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84" w:type="dxa"/>
            <w:tcBorders>
              <w:left w:val="nil"/>
            </w:tcBorders>
            <w:noWrap w:val="0"/>
            <w:vAlign w:val="center"/>
          </w:tcPr>
          <w:p>
            <w:pPr>
              <w:adjustRightInd w:val="0"/>
              <w:snapToGrid w:val="0"/>
              <w:ind w:left="115" w:hanging="114" w:hangingChars="41"/>
              <w:rPr>
                <w:rFonts w:ascii="仿宋" w:hAnsi="仿宋" w:eastAsia="仿宋"/>
                <w:color w:val="000000"/>
                <w:sz w:val="28"/>
                <w:szCs w:val="28"/>
              </w:rPr>
            </w:pPr>
            <w:r>
              <w:rPr>
                <w:rFonts w:ascii="仿宋" w:hAnsi="仿宋" w:eastAsia="仿宋"/>
                <w:color w:val="000000"/>
                <w:sz w:val="28"/>
                <w:szCs w:val="28"/>
              </w:rPr>
              <w:t>9、万元GDP电耗</w:t>
            </w:r>
          </w:p>
        </w:tc>
        <w:tc>
          <w:tcPr>
            <w:tcW w:w="1276" w:type="dxa"/>
            <w:noWrap w:val="0"/>
            <w:vAlign w:val="center"/>
          </w:tcPr>
          <w:p>
            <w:pPr>
              <w:adjustRightInd w:val="0"/>
              <w:snapToGrid w:val="0"/>
              <w:ind w:left="-249"/>
              <w:jc w:val="center"/>
              <w:rPr>
                <w:rFonts w:ascii="仿宋" w:hAnsi="仿宋" w:eastAsia="仿宋"/>
                <w:color w:val="000000"/>
                <w:sz w:val="28"/>
                <w:szCs w:val="28"/>
              </w:rPr>
            </w:pPr>
            <w:r>
              <w:rPr>
                <w:rFonts w:ascii="仿宋" w:hAnsi="仿宋" w:eastAsia="仿宋"/>
                <w:color w:val="000000"/>
                <w:sz w:val="28"/>
                <w:szCs w:val="28"/>
              </w:rPr>
              <w:t xml:space="preserve">  千瓦时/万元</w:t>
            </w:r>
          </w:p>
        </w:tc>
        <w:tc>
          <w:tcPr>
            <w:tcW w:w="1276" w:type="dxa"/>
            <w:noWrap w:val="0"/>
            <w:vAlign w:val="center"/>
          </w:tcPr>
          <w:p>
            <w:pPr>
              <w:snapToGrid w:val="0"/>
              <w:jc w:val="right"/>
              <w:rPr>
                <w:rFonts w:ascii="仿宋" w:hAnsi="仿宋" w:eastAsia="仿宋"/>
                <w:color w:val="000000"/>
                <w:sz w:val="28"/>
                <w:szCs w:val="28"/>
              </w:rPr>
            </w:pPr>
            <w:r>
              <w:rPr>
                <w:rFonts w:ascii="仿宋" w:hAnsi="仿宋" w:eastAsia="仿宋"/>
                <w:color w:val="000000"/>
                <w:sz w:val="28"/>
                <w:szCs w:val="28"/>
              </w:rPr>
              <w:t>—</w:t>
            </w:r>
          </w:p>
        </w:tc>
        <w:tc>
          <w:tcPr>
            <w:tcW w:w="807" w:type="dxa"/>
            <w:noWrap w:val="0"/>
            <w:vAlign w:val="center"/>
          </w:tcPr>
          <w:p>
            <w:pPr>
              <w:snapToGrid w:val="0"/>
              <w:ind w:left="-250" w:leftChars="-119" w:firstLine="420" w:firstLineChars="150"/>
              <w:jc w:val="right"/>
              <w:rPr>
                <w:rFonts w:ascii="仿宋" w:hAnsi="仿宋" w:eastAsia="仿宋"/>
                <w:color w:val="000000"/>
                <w:sz w:val="28"/>
                <w:szCs w:val="28"/>
              </w:rPr>
            </w:pPr>
            <w:r>
              <w:rPr>
                <w:rFonts w:ascii="仿宋" w:hAnsi="仿宋" w:eastAsia="仿宋"/>
                <w:color w:val="000000"/>
                <w:sz w:val="28"/>
                <w:szCs w:val="28"/>
              </w:rPr>
              <w:t>—</w:t>
            </w:r>
          </w:p>
        </w:tc>
        <w:tc>
          <w:tcPr>
            <w:tcW w:w="1701" w:type="dxa"/>
            <w:noWrap w:val="0"/>
            <w:vAlign w:val="center"/>
          </w:tcPr>
          <w:p>
            <w:pPr>
              <w:snapToGrid w:val="0"/>
              <w:jc w:val="right"/>
              <w:rPr>
                <w:rFonts w:ascii="仿宋" w:hAnsi="仿宋" w:eastAsia="仿宋"/>
                <w:color w:val="000000"/>
                <w:sz w:val="28"/>
                <w:szCs w:val="28"/>
              </w:rPr>
            </w:pPr>
            <w:r>
              <w:rPr>
                <w:rFonts w:ascii="仿宋" w:hAnsi="仿宋" w:eastAsia="仿宋"/>
                <w:color w:val="000000"/>
                <w:sz w:val="28"/>
                <w:szCs w:val="28"/>
              </w:rPr>
              <w:t>—</w:t>
            </w:r>
          </w:p>
        </w:tc>
        <w:tc>
          <w:tcPr>
            <w:tcW w:w="1423" w:type="dxa"/>
            <w:tcBorders>
              <w:right w:val="nil"/>
            </w:tcBorders>
            <w:noWrap w:val="0"/>
            <w:vAlign w:val="center"/>
          </w:tcPr>
          <w:p>
            <w:pPr>
              <w:snapToGrid w:val="0"/>
              <w:ind w:left="-249"/>
              <w:jc w:val="right"/>
              <w:rPr>
                <w:rFonts w:ascii="仿宋" w:hAnsi="仿宋" w:eastAsia="仿宋"/>
                <w:color w:val="000000"/>
                <w:sz w:val="28"/>
                <w:szCs w:val="28"/>
              </w:rPr>
            </w:pPr>
            <w:r>
              <w:rPr>
                <w:rFonts w:hint="eastAsia" w:ascii="仿宋" w:hAnsi="仿宋" w:eastAsia="仿宋"/>
                <w:color w:val="000000"/>
                <w:sz w:val="28"/>
                <w:szCs w:val="28"/>
              </w:rPr>
              <w:t>下降2%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3084" w:type="dxa"/>
            <w:tcBorders>
              <w:left w:val="nil"/>
            </w:tcBorders>
            <w:noWrap w:val="0"/>
            <w:vAlign w:val="center"/>
          </w:tcPr>
          <w:p>
            <w:pPr>
              <w:adjustRightInd w:val="0"/>
              <w:snapToGrid w:val="0"/>
              <w:ind w:left="115" w:hanging="114" w:hangingChars="41"/>
              <w:rPr>
                <w:rFonts w:ascii="仿宋" w:hAnsi="仿宋" w:eastAsia="仿宋"/>
                <w:color w:val="000000"/>
                <w:sz w:val="28"/>
                <w:szCs w:val="28"/>
              </w:rPr>
            </w:pPr>
            <w:r>
              <w:rPr>
                <w:rFonts w:ascii="仿宋" w:hAnsi="仿宋" w:eastAsia="仿宋"/>
                <w:color w:val="000000"/>
                <w:sz w:val="28"/>
                <w:szCs w:val="28"/>
              </w:rPr>
              <w:t>10、万元GDP水耗</w:t>
            </w:r>
          </w:p>
        </w:tc>
        <w:tc>
          <w:tcPr>
            <w:tcW w:w="1276" w:type="dxa"/>
            <w:noWrap w:val="0"/>
            <w:vAlign w:val="center"/>
          </w:tcPr>
          <w:p>
            <w:pPr>
              <w:adjustRightInd w:val="0"/>
              <w:snapToGrid w:val="0"/>
              <w:ind w:left="-249"/>
              <w:jc w:val="center"/>
              <w:rPr>
                <w:rFonts w:ascii="仿宋" w:hAnsi="仿宋" w:eastAsia="仿宋"/>
                <w:color w:val="000000"/>
                <w:sz w:val="28"/>
                <w:szCs w:val="28"/>
              </w:rPr>
            </w:pPr>
            <w:r>
              <w:rPr>
                <w:rFonts w:ascii="仿宋" w:hAnsi="仿宋" w:eastAsia="仿宋"/>
                <w:color w:val="000000"/>
                <w:sz w:val="28"/>
                <w:szCs w:val="28"/>
              </w:rPr>
              <w:t xml:space="preserve">  吨/万元</w:t>
            </w:r>
          </w:p>
        </w:tc>
        <w:tc>
          <w:tcPr>
            <w:tcW w:w="1276" w:type="dxa"/>
            <w:noWrap w:val="0"/>
            <w:vAlign w:val="center"/>
          </w:tcPr>
          <w:p>
            <w:pPr>
              <w:snapToGrid w:val="0"/>
              <w:jc w:val="right"/>
              <w:rPr>
                <w:rFonts w:ascii="仿宋" w:hAnsi="仿宋" w:eastAsia="仿宋"/>
                <w:color w:val="000000"/>
                <w:sz w:val="28"/>
                <w:szCs w:val="28"/>
              </w:rPr>
            </w:pPr>
            <w:r>
              <w:rPr>
                <w:rFonts w:ascii="仿宋" w:hAnsi="仿宋" w:eastAsia="仿宋"/>
                <w:color w:val="000000"/>
                <w:sz w:val="28"/>
                <w:szCs w:val="28"/>
              </w:rPr>
              <w:t>—</w:t>
            </w:r>
          </w:p>
        </w:tc>
        <w:tc>
          <w:tcPr>
            <w:tcW w:w="807" w:type="dxa"/>
            <w:noWrap w:val="0"/>
            <w:vAlign w:val="center"/>
          </w:tcPr>
          <w:p>
            <w:pPr>
              <w:snapToGrid w:val="0"/>
              <w:ind w:left="-249"/>
              <w:jc w:val="right"/>
              <w:rPr>
                <w:rFonts w:ascii="仿宋" w:hAnsi="仿宋" w:eastAsia="仿宋"/>
                <w:color w:val="000000"/>
                <w:sz w:val="28"/>
                <w:szCs w:val="28"/>
              </w:rPr>
            </w:pPr>
            <w:r>
              <w:rPr>
                <w:rFonts w:ascii="仿宋" w:hAnsi="仿宋" w:eastAsia="仿宋"/>
                <w:color w:val="000000"/>
                <w:sz w:val="28"/>
                <w:szCs w:val="28"/>
              </w:rPr>
              <w:t>—</w:t>
            </w:r>
          </w:p>
        </w:tc>
        <w:tc>
          <w:tcPr>
            <w:tcW w:w="1701" w:type="dxa"/>
            <w:noWrap w:val="0"/>
            <w:vAlign w:val="center"/>
          </w:tcPr>
          <w:p>
            <w:pPr>
              <w:snapToGrid w:val="0"/>
              <w:jc w:val="right"/>
              <w:rPr>
                <w:rFonts w:ascii="仿宋" w:hAnsi="仿宋" w:eastAsia="仿宋"/>
                <w:color w:val="000000"/>
                <w:sz w:val="28"/>
                <w:szCs w:val="28"/>
              </w:rPr>
            </w:pPr>
            <w:r>
              <w:rPr>
                <w:rFonts w:ascii="仿宋" w:hAnsi="仿宋" w:eastAsia="仿宋"/>
                <w:color w:val="000000"/>
                <w:sz w:val="28"/>
                <w:szCs w:val="28"/>
              </w:rPr>
              <w:t>—</w:t>
            </w:r>
          </w:p>
        </w:tc>
        <w:tc>
          <w:tcPr>
            <w:tcW w:w="1423" w:type="dxa"/>
            <w:tcBorders>
              <w:right w:val="nil"/>
            </w:tcBorders>
            <w:noWrap w:val="0"/>
            <w:vAlign w:val="center"/>
          </w:tcPr>
          <w:p>
            <w:pPr>
              <w:snapToGrid w:val="0"/>
              <w:ind w:left="-249"/>
              <w:jc w:val="right"/>
              <w:rPr>
                <w:rFonts w:ascii="仿宋" w:hAnsi="仿宋" w:eastAsia="仿宋"/>
                <w:color w:val="000000"/>
                <w:sz w:val="28"/>
                <w:szCs w:val="28"/>
              </w:rPr>
            </w:pPr>
            <w:r>
              <w:rPr>
                <w:rFonts w:hint="eastAsia" w:ascii="仿宋" w:hAnsi="仿宋" w:eastAsia="仿宋"/>
                <w:color w:val="000000"/>
                <w:sz w:val="28"/>
                <w:szCs w:val="28"/>
              </w:rPr>
              <w:t>下降2%</w:t>
            </w:r>
          </w:p>
        </w:tc>
      </w:tr>
    </w:tbl>
    <w:p>
      <w:pPr>
        <w:rPr>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lvl>
  </w:abstractNum>
  <w:abstractNum w:abstractNumId="1">
    <w:nsid w:val="00000001"/>
    <w:multiLevelType w:val="singleLevel"/>
    <w:tmpl w:val="00000001"/>
    <w:lvl w:ilvl="0" w:tentative="0">
      <w:start w:val="5"/>
      <w:numFmt w:val="chineseCounting"/>
      <w:suff w:val="nothing"/>
      <w:lvlText w:val="（%1）"/>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jdlNzU3NGZmZGMwMzVjYzk4MmUyMGVmNjM4MjAifQ=="/>
  </w:docVars>
  <w:rsids>
    <w:rsidRoot w:val="00172A27"/>
    <w:rsid w:val="1DE85A3B"/>
    <w:rsid w:val="7B261D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character" w:default="1" w:styleId="6">
    <w:name w:val="Default Paragraph Fon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8"/>
    <w:uiPriority w:val="0"/>
    <w:rPr>
      <w:kern w:val="2"/>
      <w:sz w:val="18"/>
      <w:szCs w:val="18"/>
    </w:rPr>
  </w:style>
  <w:style w:type="paragraph" w:styleId="3">
    <w:name w:val="footer"/>
    <w:basedOn w:val="1"/>
    <w:link w:val="9"/>
    <w:uiPriority w:val="0"/>
    <w:pPr>
      <w:tabs>
        <w:tab w:val="center" w:pos="4153"/>
        <w:tab w:val="right" w:pos="8306"/>
      </w:tabs>
      <w:snapToGrid w:val="0"/>
      <w:jc w:val="left"/>
    </w:pPr>
    <w:rPr>
      <w:kern w:val="2"/>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kern w:val="2"/>
      <w:sz w:val="18"/>
      <w:szCs w:val="18"/>
    </w:rPr>
  </w:style>
  <w:style w:type="character" w:styleId="7">
    <w:name w:val="page number"/>
    <w:basedOn w:val="6"/>
    <w:uiPriority w:val="0"/>
  </w:style>
  <w:style w:type="character" w:customStyle="1" w:styleId="8">
    <w:name w:val="批注框文本 Char Char"/>
    <w:link w:val="2"/>
    <w:uiPriority w:val="0"/>
    <w:rPr>
      <w:kern w:val="2"/>
      <w:sz w:val="18"/>
      <w:szCs w:val="18"/>
    </w:rPr>
  </w:style>
  <w:style w:type="character" w:customStyle="1" w:styleId="9">
    <w:name w:val="页脚 Char Char"/>
    <w:link w:val="3"/>
    <w:uiPriority w:val="0"/>
    <w:rPr>
      <w:kern w:val="2"/>
      <w:sz w:val="18"/>
      <w:szCs w:val="18"/>
    </w:rPr>
  </w:style>
  <w:style w:type="character" w:customStyle="1" w:styleId="10">
    <w:name w:val="页眉 Char Char"/>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10602</Words>
  <Characters>11250</Characters>
  <Lines>80</Lines>
  <Paragraphs>22</Paragraphs>
  <TotalTime>0</TotalTime>
  <ScaleCrop>false</ScaleCrop>
  <LinksUpToDate>false</LinksUpToDate>
  <CharactersWithSpaces>11297</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2015-12-28T16:24:00Z</dcterms:created>
  <dc:creator>admin</dc:creator>
  <cp:lastModifiedBy>admin-pc</cp:lastModifiedBy>
  <cp:lastPrinted>2015-12-23T10:35:00Z</cp:lastPrinted>
  <dcterms:modified xsi:type="dcterms:W3CDTF">2024-07-30T15:11:02Z</dcterms:modified>
  <dc:title>福田区2015年国民经济和社会发展计划</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979EBCB5CA213D3F0692A866D0538A29</vt:lpwstr>
  </property>
</Properties>
</file>