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98" w:lineRule="exact"/>
        <w:rPr>
          <w:color w:val="auto"/>
          <w:sz w:val="24"/>
          <w:szCs w:val="24"/>
        </w:rPr>
      </w:pPr>
      <w:bookmarkStart w:id="0" w:name="page1"/>
      <w:bookmarkEnd w:id="0"/>
    </w:p>
    <w:p>
      <w:pPr>
        <w:spacing w:after="0" w:line="502" w:lineRule="exact"/>
        <w:ind w:right="8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福田区经济、政府性基金预算和债务</w:t>
      </w:r>
    </w:p>
    <w:p>
      <w:pPr>
        <w:spacing w:after="0" w:line="297" w:lineRule="exact"/>
        <w:rPr>
          <w:rFonts w:hint="eastAsia" w:ascii="方正小标宋简体" w:hAnsi="方正小标宋简体" w:eastAsia="方正小标宋简体" w:cs="方正小标宋简体"/>
          <w:color w:val="auto"/>
          <w:sz w:val="44"/>
          <w:szCs w:val="44"/>
        </w:rPr>
      </w:pPr>
    </w:p>
    <w:p>
      <w:pPr>
        <w:spacing w:after="0" w:line="502" w:lineRule="exact"/>
        <w:ind w:right="8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情况说明</w:t>
      </w:r>
    </w:p>
    <w:p>
      <w:pPr>
        <w:spacing w:after="0" w:line="200" w:lineRule="exact"/>
        <w:rPr>
          <w:rFonts w:hint="eastAsia" w:ascii="仿宋_GB2312" w:hAnsi="仿宋_GB2312" w:eastAsia="仿宋_GB2312" w:cs="仿宋_GB2312"/>
          <w:color w:val="auto"/>
          <w:sz w:val="32"/>
          <w:szCs w:val="32"/>
        </w:rPr>
      </w:pPr>
    </w:p>
    <w:p>
      <w:pPr>
        <w:spacing w:after="0" w:line="200" w:lineRule="exact"/>
        <w:rPr>
          <w:rFonts w:hint="eastAsia" w:ascii="仿宋_GB2312" w:hAnsi="仿宋_GB2312" w:eastAsia="仿宋_GB2312" w:cs="仿宋_GB2312"/>
          <w:color w:val="auto"/>
          <w:sz w:val="32"/>
          <w:szCs w:val="32"/>
        </w:rPr>
      </w:pPr>
    </w:p>
    <w:p>
      <w:pPr>
        <w:spacing w:after="0" w:line="200" w:lineRule="exact"/>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一、福田区经济、财政和债务数据明细表</w:t>
      </w:r>
    </w:p>
    <w:p>
      <w:pPr>
        <w:keepNext w:val="0"/>
        <w:keepLines w:val="0"/>
        <w:pageBreakBefore w:val="0"/>
        <w:widowControl/>
        <w:kinsoku/>
        <w:wordWrap/>
        <w:overflowPunct/>
        <w:topLinePunct w:val="0"/>
        <w:autoSpaceDE/>
        <w:autoSpaceDN/>
        <w:bidi w:val="0"/>
        <w:adjustRightInd/>
        <w:snapToGrid/>
        <w:spacing w:after="0" w:line="579" w:lineRule="exact"/>
        <w:ind w:left="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图表：福田区经济、财政和债务有关数据</w:t>
      </w:r>
    </w:p>
    <w:tbl>
      <w:tblPr>
        <w:tblStyle w:val="2"/>
        <w:tblW w:w="500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08"/>
        <w:gridCol w:w="2311"/>
        <w:gridCol w:w="2310"/>
        <w:gridCol w:w="23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一、2021-2023年经济基本状况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年份</w:t>
            </w:r>
            <w:r>
              <w:rPr>
                <w:rStyle w:val="4"/>
                <w:rFonts w:hint="eastAsia" w:ascii="仿宋_GB2312" w:hAnsi="仿宋_GB2312" w:eastAsia="仿宋_GB2312" w:cs="仿宋_GB2312"/>
                <w:sz w:val="21"/>
                <w:szCs w:val="21"/>
                <w:lang w:val="en-US" w:eastAsia="zh-CN" w:bidi="ar"/>
              </w:rPr>
              <w:t>/</w:t>
            </w:r>
            <w:r>
              <w:rPr>
                <w:rStyle w:val="5"/>
                <w:rFonts w:hint="eastAsia" w:ascii="仿宋_GB2312" w:hAnsi="仿宋_GB2312" w:eastAsia="仿宋_GB2312" w:cs="仿宋_GB2312"/>
                <w:sz w:val="21"/>
                <w:szCs w:val="21"/>
                <w:lang w:val="en-US" w:eastAsia="zh-CN" w:bidi="ar"/>
              </w:rPr>
              <w:t>项目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2021</w:t>
            </w:r>
            <w:r>
              <w:rPr>
                <w:rStyle w:val="5"/>
                <w:rFonts w:hint="eastAsia" w:ascii="仿宋_GB2312" w:hAnsi="仿宋_GB2312" w:eastAsia="仿宋_GB2312" w:cs="仿宋_GB2312"/>
                <w:sz w:val="21"/>
                <w:szCs w:val="21"/>
                <w:lang w:val="en-US" w:eastAsia="zh-CN" w:bidi="ar"/>
              </w:rPr>
              <w:t>年</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2022</w:t>
            </w:r>
            <w:r>
              <w:rPr>
                <w:rStyle w:val="5"/>
                <w:rFonts w:hint="eastAsia" w:ascii="仿宋_GB2312" w:hAnsi="仿宋_GB2312" w:eastAsia="仿宋_GB2312" w:cs="仿宋_GB2312"/>
                <w:sz w:val="21"/>
                <w:szCs w:val="21"/>
                <w:lang w:val="en-US" w:eastAsia="zh-CN" w:bidi="ar"/>
              </w:rPr>
              <w:t>年</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2023</w:t>
            </w:r>
            <w:r>
              <w:rPr>
                <w:rStyle w:val="5"/>
                <w:rFonts w:hint="eastAsia" w:ascii="仿宋_GB2312" w:hAnsi="仿宋_GB2312" w:eastAsia="仿宋_GB2312" w:cs="仿宋_GB2312"/>
                <w:sz w:val="21"/>
                <w:szCs w:val="21"/>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地区生产总值（亿元）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5318.19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5514.49</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5704.55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地区生产总值增速（</w:t>
            </w:r>
            <w:r>
              <w:rPr>
                <w:rStyle w:val="4"/>
                <w:rFonts w:hint="eastAsia" w:ascii="仿宋_GB2312" w:hAnsi="仿宋_GB2312" w:eastAsia="仿宋_GB2312" w:cs="仿宋_GB2312"/>
                <w:sz w:val="21"/>
                <w:szCs w:val="21"/>
                <w:lang w:val="en-US" w:eastAsia="zh-CN" w:bidi="ar"/>
              </w:rPr>
              <w:t>%</w:t>
            </w:r>
            <w:r>
              <w:rPr>
                <w:rStyle w:val="5"/>
                <w:rFonts w:hint="eastAsia" w:ascii="仿宋_GB2312" w:hAnsi="仿宋_GB2312" w:eastAsia="仿宋_GB2312" w:cs="仿宋_GB2312"/>
                <w:sz w:val="21"/>
                <w:szCs w:val="21"/>
                <w:lang w:val="en-US" w:eastAsia="zh-CN" w:bidi="ar"/>
              </w:rPr>
              <w:t>）</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第一产业（亿元）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1.73</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第二产业（亿元）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472.09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504.29</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567.34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第三产业（亿元）</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4844.5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5008.47</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5135.45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二、2021-2023年</w:t>
            </w:r>
            <w:r>
              <w:rPr>
                <w:rStyle w:val="7"/>
                <w:rFonts w:hint="eastAsia" w:ascii="仿宋_GB2312" w:hAnsi="仿宋_GB2312" w:eastAsia="仿宋_GB2312" w:cs="仿宋_GB2312"/>
                <w:sz w:val="21"/>
                <w:szCs w:val="21"/>
                <w:lang w:val="en-US" w:eastAsia="zh-CN" w:bidi="ar"/>
              </w:rPr>
              <w:t>财政收支状况（亿元）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（一）近三年一般公共预算收支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年份</w:t>
            </w:r>
            <w:r>
              <w:rPr>
                <w:rStyle w:val="6"/>
                <w:rFonts w:hint="eastAsia" w:ascii="仿宋_GB2312" w:hAnsi="仿宋_GB2312" w:eastAsia="仿宋_GB2312" w:cs="仿宋_GB2312"/>
                <w:b w:val="0"/>
                <w:bCs/>
                <w:sz w:val="21"/>
                <w:szCs w:val="21"/>
                <w:lang w:val="en-US" w:eastAsia="zh-CN" w:bidi="ar"/>
              </w:rPr>
              <w:t>/</w:t>
            </w:r>
            <w:r>
              <w:rPr>
                <w:rStyle w:val="7"/>
                <w:rFonts w:hint="eastAsia" w:ascii="仿宋_GB2312" w:hAnsi="仿宋_GB2312" w:eastAsia="仿宋_GB2312" w:cs="仿宋_GB2312"/>
                <w:b w:val="0"/>
                <w:bCs/>
                <w:sz w:val="21"/>
                <w:szCs w:val="21"/>
                <w:lang w:val="en-US" w:eastAsia="zh-CN" w:bidi="ar"/>
              </w:rPr>
              <w:t>项目</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2021</w:t>
            </w:r>
            <w:r>
              <w:rPr>
                <w:rStyle w:val="5"/>
                <w:rFonts w:hint="eastAsia" w:ascii="仿宋_GB2312" w:hAnsi="仿宋_GB2312" w:eastAsia="仿宋_GB2312" w:cs="仿宋_GB2312"/>
                <w:sz w:val="21"/>
                <w:szCs w:val="21"/>
                <w:lang w:val="en-US" w:eastAsia="zh-CN" w:bidi="ar"/>
              </w:rPr>
              <w:t>年</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2022</w:t>
            </w:r>
            <w:r>
              <w:rPr>
                <w:rStyle w:val="5"/>
                <w:rFonts w:hint="eastAsia" w:ascii="仿宋_GB2312" w:hAnsi="仿宋_GB2312" w:eastAsia="仿宋_GB2312" w:cs="仿宋_GB2312"/>
                <w:sz w:val="21"/>
                <w:szCs w:val="21"/>
                <w:lang w:val="en-US" w:eastAsia="zh-CN" w:bidi="ar"/>
              </w:rPr>
              <w:t>年</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2023</w:t>
            </w:r>
            <w:r>
              <w:rPr>
                <w:rStyle w:val="5"/>
                <w:rFonts w:hint="eastAsia" w:ascii="仿宋_GB2312" w:hAnsi="仿宋_GB2312" w:eastAsia="仿宋_GB2312" w:cs="仿宋_GB2312"/>
                <w:sz w:val="21"/>
                <w:szCs w:val="21"/>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一般公共预算收入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214.29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194.27</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207.79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一般公共预算支出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296.29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310.47</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268.85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地方政府一般债券收入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地方政府一般债券还本支出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转移性收入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49.93</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75.46</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79.99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转移性支出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45.62</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2.85</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41.54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（二）近三年政府性基金预算收支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政府性基金预算收入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90.55</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117.92</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94.43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政府性基金预算支出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93.39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115.20</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90.54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地方政府专项债券收入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4.47</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bidi="ar"/>
              </w:rPr>
              <w:t>6.26</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地方政府专项债券还本支出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1.58</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2.93</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（三）近三年国有资本经营预算收支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国有资本经营收入</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0.69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0.66</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国有资本经营支出</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0.69</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0.66</w:t>
            </w:r>
          </w:p>
        </w:tc>
        <w:tc>
          <w:tcPr>
            <w:tcW w:w="12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 w:hRule="atLeast"/>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三、地方政府债务状况（亿元）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2021年底地方政府债务余额</w:t>
            </w:r>
          </w:p>
        </w:tc>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1"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2022年底地方政府债务余额</w:t>
            </w:r>
          </w:p>
        </w:tc>
        <w:tc>
          <w:tcPr>
            <w:tcW w:w="69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right="0" w:rightChars="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4" w:hRule="atLeast"/>
        </w:trPr>
        <w:tc>
          <w:tcPr>
            <w:tcW w:w="1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2023年底地方政府债务余额</w:t>
            </w:r>
          </w:p>
        </w:tc>
        <w:tc>
          <w:tcPr>
            <w:tcW w:w="37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right="0" w:firstLine="0" w:firstLineChars="0"/>
              <w:jc w:val="center"/>
              <w:textAlignment w:val="bottom"/>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224.53</w:t>
            </w:r>
          </w:p>
        </w:tc>
      </w:tr>
    </w:tbl>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黑体" w:hAnsi="黑体" w:eastAsia="黑体" w:cs="黑体"/>
          <w:color w:val="auto"/>
          <w:sz w:val="32"/>
          <w:szCs w:val="32"/>
        </w:rPr>
      </w:pPr>
      <w:bookmarkStart w:id="1" w:name="page3"/>
      <w:bookmarkEnd w:id="1"/>
      <w:r>
        <w:rPr>
          <w:rFonts w:hint="eastAsia" w:ascii="黑体" w:hAnsi="黑体" w:eastAsia="黑体" w:cs="黑体"/>
          <w:color w:val="auto"/>
          <w:sz w:val="32"/>
          <w:szCs w:val="32"/>
        </w:rPr>
        <w:t>二、福田区政府性基金收支情况</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年，全区政府性基金预算收入完成</w:t>
      </w:r>
      <w:r>
        <w:rPr>
          <w:rFonts w:hint="eastAsia" w:ascii="仿宋_GB2312" w:hAnsi="仿宋_GB2312" w:eastAsia="仿宋_GB2312" w:cs="仿宋_GB2312"/>
          <w:color w:val="auto"/>
          <w:sz w:val="32"/>
          <w:szCs w:val="32"/>
          <w:lang w:val="en-US" w:eastAsia="zh-CN"/>
        </w:rPr>
        <w:t>90.55</w:t>
      </w:r>
      <w:r>
        <w:rPr>
          <w:rFonts w:hint="eastAsia" w:ascii="仿宋_GB2312" w:hAnsi="仿宋_GB2312" w:eastAsia="仿宋_GB2312" w:cs="仿宋_GB2312"/>
          <w:color w:val="auto"/>
          <w:sz w:val="32"/>
          <w:szCs w:val="32"/>
        </w:rPr>
        <w:t>亿元，其中国有土地使用权出让收入完成</w:t>
      </w:r>
      <w:r>
        <w:rPr>
          <w:rFonts w:hint="eastAsia" w:ascii="仿宋_GB2312" w:hAnsi="仿宋_GB2312" w:eastAsia="仿宋_GB2312" w:cs="仿宋_GB2312"/>
          <w:color w:val="auto"/>
          <w:sz w:val="32"/>
          <w:szCs w:val="32"/>
          <w:lang w:val="en-US" w:eastAsia="zh-CN"/>
        </w:rPr>
        <w:t>30.40</w:t>
      </w:r>
      <w:r>
        <w:rPr>
          <w:rFonts w:hint="eastAsia" w:ascii="仿宋_GB2312" w:hAnsi="仿宋_GB2312" w:eastAsia="仿宋_GB2312" w:cs="仿宋_GB2312"/>
          <w:color w:val="auto"/>
          <w:sz w:val="32"/>
          <w:szCs w:val="32"/>
        </w:rPr>
        <w:t>亿元。202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政府性基金预算支出完成</w:t>
      </w:r>
      <w:r>
        <w:rPr>
          <w:rFonts w:hint="eastAsia" w:ascii="仿宋_GB2312" w:hAnsi="仿宋_GB2312" w:eastAsia="仿宋_GB2312" w:cs="仿宋_GB2312"/>
          <w:color w:val="auto"/>
          <w:sz w:val="32"/>
          <w:szCs w:val="32"/>
          <w:lang w:val="en-US" w:eastAsia="zh-CN"/>
        </w:rPr>
        <w:t>93.39</w:t>
      </w:r>
      <w:r>
        <w:rPr>
          <w:rFonts w:hint="eastAsia" w:ascii="仿宋_GB2312" w:hAnsi="仿宋_GB2312" w:eastAsia="仿宋_GB2312" w:cs="仿宋_GB2312"/>
          <w:color w:val="auto"/>
          <w:sz w:val="32"/>
          <w:szCs w:val="32"/>
        </w:rPr>
        <w:t>亿元。</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年，全区政府性基金预算收入完成</w:t>
      </w:r>
      <w:r>
        <w:rPr>
          <w:rFonts w:hint="eastAsia" w:ascii="仿宋_GB2312" w:hAnsi="仿宋_GB2312" w:eastAsia="仿宋_GB2312" w:cs="仿宋_GB2312"/>
          <w:color w:val="auto"/>
          <w:sz w:val="32"/>
          <w:szCs w:val="32"/>
          <w:highlight w:val="none"/>
          <w:lang w:val="en-US" w:eastAsia="zh-CN"/>
        </w:rPr>
        <w:t>117.92</w:t>
      </w:r>
      <w:r>
        <w:rPr>
          <w:rFonts w:hint="eastAsia" w:ascii="仿宋_GB2312" w:hAnsi="仿宋_GB2312" w:eastAsia="仿宋_GB2312" w:cs="仿宋_GB2312"/>
          <w:color w:val="auto"/>
          <w:sz w:val="32"/>
          <w:szCs w:val="32"/>
          <w:highlight w:val="none"/>
        </w:rPr>
        <w:t>亿元，其中国有土地使用权出让收入完成</w:t>
      </w:r>
      <w:r>
        <w:rPr>
          <w:rFonts w:hint="eastAsia" w:ascii="仿宋_GB2312" w:hAnsi="仿宋_GB2312" w:eastAsia="仿宋_GB2312" w:cs="仿宋_GB2312"/>
          <w:color w:val="auto"/>
          <w:sz w:val="32"/>
          <w:szCs w:val="32"/>
          <w:highlight w:val="none"/>
          <w:lang w:val="en-US" w:eastAsia="zh-CN"/>
        </w:rPr>
        <w:t>33.70</w:t>
      </w:r>
      <w:r>
        <w:rPr>
          <w:rFonts w:hint="eastAsia" w:ascii="仿宋_GB2312" w:hAnsi="仿宋_GB2312" w:eastAsia="仿宋_GB2312" w:cs="仿宋_GB2312"/>
          <w:color w:val="auto"/>
          <w:sz w:val="32"/>
          <w:szCs w:val="32"/>
          <w:highlight w:val="none"/>
        </w:rPr>
        <w:t>亿元。202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政府性基金预算支出完成</w:t>
      </w:r>
      <w:r>
        <w:rPr>
          <w:rFonts w:hint="eastAsia" w:ascii="仿宋_GB2312" w:hAnsi="仿宋_GB2312" w:eastAsia="仿宋_GB2312" w:cs="仿宋_GB2312"/>
          <w:color w:val="auto"/>
          <w:sz w:val="32"/>
          <w:szCs w:val="32"/>
          <w:highlight w:val="none"/>
          <w:lang w:val="en-US" w:eastAsia="zh-CN"/>
        </w:rPr>
        <w:t>115.20</w:t>
      </w:r>
      <w:r>
        <w:rPr>
          <w:rFonts w:hint="eastAsia" w:ascii="仿宋_GB2312" w:hAnsi="仿宋_GB2312" w:eastAsia="仿宋_GB2312" w:cs="仿宋_GB2312"/>
          <w:color w:val="auto"/>
          <w:sz w:val="32"/>
          <w:szCs w:val="32"/>
          <w:highlight w:val="none"/>
        </w:rPr>
        <w:t>亿元。</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年，全区政府性基金预算收入完成</w:t>
      </w:r>
      <w:r>
        <w:rPr>
          <w:rFonts w:hint="eastAsia" w:ascii="仿宋_GB2312" w:hAnsi="仿宋_GB2312" w:eastAsia="仿宋_GB2312" w:cs="仿宋_GB2312"/>
          <w:color w:val="auto"/>
          <w:sz w:val="32"/>
          <w:szCs w:val="32"/>
          <w:highlight w:val="none"/>
          <w:lang w:val="en-US" w:eastAsia="zh-CN"/>
        </w:rPr>
        <w:t>94.43</w:t>
      </w:r>
      <w:r>
        <w:rPr>
          <w:rFonts w:hint="eastAsia" w:ascii="仿宋_GB2312" w:hAnsi="仿宋_GB2312" w:eastAsia="仿宋_GB2312" w:cs="仿宋_GB2312"/>
          <w:color w:val="auto"/>
          <w:sz w:val="32"/>
          <w:szCs w:val="32"/>
          <w:highlight w:val="none"/>
        </w:rPr>
        <w:t>亿元，其中国有土地使用权出让收入完成</w:t>
      </w:r>
      <w:r>
        <w:rPr>
          <w:rFonts w:hint="eastAsia" w:ascii="仿宋_GB2312" w:hAnsi="仿宋_GB2312" w:eastAsia="仿宋_GB2312" w:cs="仿宋_GB2312"/>
          <w:color w:val="auto"/>
          <w:sz w:val="32"/>
          <w:szCs w:val="32"/>
          <w:highlight w:val="none"/>
          <w:lang w:val="en-US" w:eastAsia="zh-CN"/>
        </w:rPr>
        <w:t>62.54</w:t>
      </w:r>
      <w:r>
        <w:rPr>
          <w:rFonts w:hint="eastAsia" w:ascii="仿宋_GB2312" w:hAnsi="仿宋_GB2312" w:eastAsia="仿宋_GB2312" w:cs="仿宋_GB2312"/>
          <w:color w:val="auto"/>
          <w:sz w:val="32"/>
          <w:szCs w:val="32"/>
          <w:highlight w:val="none"/>
        </w:rPr>
        <w:t>亿元。202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政府性基金预算支出完成</w:t>
      </w:r>
      <w:r>
        <w:rPr>
          <w:rFonts w:hint="eastAsia" w:ascii="仿宋_GB2312" w:hAnsi="仿宋_GB2312" w:eastAsia="仿宋_GB2312" w:cs="仿宋_GB2312"/>
          <w:color w:val="auto"/>
          <w:sz w:val="32"/>
          <w:szCs w:val="32"/>
          <w:highlight w:val="none"/>
          <w:lang w:val="en-US" w:eastAsia="zh-CN"/>
        </w:rPr>
        <w:t>90.54</w:t>
      </w:r>
      <w:r>
        <w:rPr>
          <w:rFonts w:hint="eastAsia" w:ascii="仿宋_GB2312" w:hAnsi="仿宋_GB2312" w:eastAsia="仿宋_GB2312" w:cs="仿宋_GB2312"/>
          <w:color w:val="auto"/>
          <w:sz w:val="32"/>
          <w:szCs w:val="32"/>
          <w:highlight w:val="none"/>
        </w:rPr>
        <w:t>亿元。</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黑体" w:hAnsi="黑体" w:eastAsia="黑体" w:cs="黑体"/>
          <w:color w:val="auto"/>
          <w:sz w:val="32"/>
          <w:szCs w:val="32"/>
        </w:rPr>
      </w:pPr>
      <w:r>
        <w:rPr>
          <w:rFonts w:hint="eastAsia" w:ascii="黑体" w:hAnsi="黑体" w:eastAsia="黑体" w:cs="黑体"/>
          <w:color w:val="auto"/>
          <w:sz w:val="32"/>
          <w:szCs w:val="32"/>
        </w:rPr>
        <w:t>三、福田区地方政府债务管理情况</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（一）政府债务余额情况</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年底，全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政府债务余额</w:t>
      </w:r>
      <w:r>
        <w:rPr>
          <w:rFonts w:hint="eastAsia" w:ascii="仿宋_GB2312" w:hAnsi="仿宋_GB2312" w:eastAsia="仿宋_GB2312" w:cs="仿宋_GB2312"/>
          <w:color w:val="auto"/>
          <w:sz w:val="32"/>
          <w:szCs w:val="32"/>
          <w:lang w:val="en-US" w:eastAsia="zh-CN"/>
        </w:rPr>
        <w:t>129.26</w:t>
      </w:r>
      <w:r>
        <w:rPr>
          <w:rFonts w:hint="eastAsia" w:ascii="仿宋_GB2312" w:hAnsi="仿宋_GB2312" w:eastAsia="仿宋_GB2312" w:cs="仿宋_GB2312"/>
          <w:color w:val="auto"/>
          <w:sz w:val="32"/>
          <w:szCs w:val="32"/>
        </w:rPr>
        <w:t>亿元。</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年底，全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政府债务余额</w:t>
      </w:r>
      <w:r>
        <w:rPr>
          <w:rFonts w:hint="eastAsia" w:ascii="仿宋_GB2312" w:hAnsi="仿宋_GB2312" w:eastAsia="仿宋_GB2312" w:cs="仿宋_GB2312"/>
          <w:color w:val="auto"/>
          <w:sz w:val="32"/>
          <w:szCs w:val="32"/>
          <w:lang w:val="en-US" w:eastAsia="zh-CN"/>
        </w:rPr>
        <w:t>205.26</w:t>
      </w:r>
      <w:r>
        <w:rPr>
          <w:rFonts w:hint="eastAsia" w:ascii="仿宋_GB2312" w:hAnsi="仿宋_GB2312" w:eastAsia="仿宋_GB2312" w:cs="仿宋_GB2312"/>
          <w:color w:val="auto"/>
          <w:sz w:val="32"/>
          <w:szCs w:val="32"/>
        </w:rPr>
        <w:t>亿元。</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年底，全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政府债务余额</w:t>
      </w:r>
      <w:r>
        <w:rPr>
          <w:rFonts w:hint="eastAsia" w:ascii="仿宋_GB2312" w:hAnsi="仿宋_GB2312" w:eastAsia="仿宋_GB2312" w:cs="仿宋_GB2312"/>
          <w:color w:val="auto"/>
          <w:sz w:val="32"/>
          <w:szCs w:val="32"/>
          <w:lang w:val="en-US" w:eastAsia="zh-CN"/>
        </w:rPr>
        <w:t>224.53亿</w:t>
      </w:r>
      <w:r>
        <w:rPr>
          <w:rFonts w:hint="eastAsia" w:ascii="仿宋_GB2312" w:hAnsi="仿宋_GB2312" w:eastAsia="仿宋_GB2312" w:cs="仿宋_GB2312"/>
          <w:color w:val="auto"/>
          <w:sz w:val="32"/>
          <w:szCs w:val="32"/>
        </w:rPr>
        <w:t>元。</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（二）政府债务限额情况</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年底政府债务限额</w:t>
      </w:r>
      <w:r>
        <w:rPr>
          <w:rFonts w:hint="eastAsia" w:ascii="仿宋_GB2312" w:hAnsi="仿宋_GB2312" w:eastAsia="仿宋_GB2312" w:cs="仿宋_GB2312"/>
          <w:color w:val="auto"/>
          <w:sz w:val="32"/>
          <w:szCs w:val="32"/>
          <w:lang w:val="en-US" w:eastAsia="zh-CN"/>
        </w:rPr>
        <w:t>131.30</w:t>
      </w:r>
      <w:r>
        <w:rPr>
          <w:rFonts w:hint="eastAsia" w:ascii="仿宋_GB2312" w:hAnsi="仿宋_GB2312" w:eastAsia="仿宋_GB2312" w:cs="仿宋_GB2312"/>
          <w:color w:val="auto"/>
          <w:sz w:val="32"/>
          <w:szCs w:val="32"/>
        </w:rPr>
        <w:t>亿元，按类型划分，一般债务0亿元，专项债务</w:t>
      </w:r>
      <w:r>
        <w:rPr>
          <w:rFonts w:hint="eastAsia" w:ascii="仿宋_GB2312" w:hAnsi="仿宋_GB2312" w:eastAsia="仿宋_GB2312" w:cs="仿宋_GB2312"/>
          <w:color w:val="auto"/>
          <w:sz w:val="32"/>
          <w:szCs w:val="32"/>
          <w:lang w:val="en-US" w:eastAsia="zh-CN"/>
        </w:rPr>
        <w:t>131.30</w:t>
      </w:r>
      <w:r>
        <w:rPr>
          <w:rFonts w:hint="eastAsia" w:ascii="仿宋_GB2312" w:hAnsi="仿宋_GB2312" w:eastAsia="仿宋_GB2312" w:cs="仿宋_GB2312"/>
          <w:color w:val="auto"/>
          <w:sz w:val="32"/>
          <w:szCs w:val="32"/>
        </w:rPr>
        <w:t>亿元。</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年底政府债务限额</w:t>
      </w:r>
      <w:r>
        <w:rPr>
          <w:rFonts w:hint="eastAsia" w:ascii="仿宋_GB2312" w:hAnsi="仿宋_GB2312" w:eastAsia="仿宋_GB2312" w:cs="仿宋_GB2312"/>
          <w:color w:val="auto"/>
          <w:sz w:val="32"/>
          <w:szCs w:val="32"/>
          <w:highlight w:val="none"/>
          <w:lang w:val="en-US" w:eastAsia="zh-CN"/>
        </w:rPr>
        <w:t>205.26</w:t>
      </w:r>
      <w:r>
        <w:rPr>
          <w:rFonts w:hint="eastAsia" w:ascii="仿宋_GB2312" w:hAnsi="仿宋_GB2312" w:eastAsia="仿宋_GB2312" w:cs="仿宋_GB2312"/>
          <w:color w:val="auto"/>
          <w:sz w:val="32"/>
          <w:szCs w:val="32"/>
          <w:highlight w:val="none"/>
        </w:rPr>
        <w:t>亿元，按类型划分，一般债务</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亿元，专项债务</w:t>
      </w:r>
      <w:r>
        <w:rPr>
          <w:rFonts w:hint="eastAsia" w:ascii="仿宋_GB2312" w:hAnsi="仿宋_GB2312" w:eastAsia="仿宋_GB2312" w:cs="仿宋_GB2312"/>
          <w:color w:val="auto"/>
          <w:sz w:val="32"/>
          <w:szCs w:val="32"/>
          <w:highlight w:val="none"/>
          <w:lang w:val="en-US" w:eastAsia="zh-CN"/>
        </w:rPr>
        <w:t>203.26</w:t>
      </w:r>
      <w:r>
        <w:rPr>
          <w:rFonts w:hint="eastAsia" w:ascii="仿宋_GB2312" w:hAnsi="仿宋_GB2312" w:eastAsia="仿宋_GB2312" w:cs="仿宋_GB2312"/>
          <w:color w:val="auto"/>
          <w:sz w:val="32"/>
          <w:szCs w:val="32"/>
          <w:highlight w:val="none"/>
        </w:rPr>
        <w:t>亿元。</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年底政府债务限额</w:t>
      </w:r>
      <w:r>
        <w:rPr>
          <w:rFonts w:hint="eastAsia" w:ascii="仿宋_GB2312" w:hAnsi="仿宋_GB2312" w:eastAsia="仿宋_GB2312" w:cs="仿宋_GB2312"/>
          <w:color w:val="auto"/>
          <w:sz w:val="32"/>
          <w:szCs w:val="32"/>
          <w:lang w:val="en-US" w:eastAsia="zh-CN"/>
        </w:rPr>
        <w:t>224.53</w:t>
      </w:r>
      <w:r>
        <w:rPr>
          <w:rFonts w:hint="eastAsia" w:ascii="仿宋_GB2312" w:hAnsi="仿宋_GB2312" w:eastAsia="仿宋_GB2312" w:cs="仿宋_GB2312"/>
          <w:color w:val="auto"/>
          <w:sz w:val="32"/>
          <w:szCs w:val="32"/>
          <w:highlight w:val="none"/>
        </w:rPr>
        <w:t>亿元，按类型划分，一般债务</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亿元，专项债务</w:t>
      </w:r>
      <w:r>
        <w:rPr>
          <w:rFonts w:hint="eastAsia" w:ascii="仿宋_GB2312" w:hAnsi="仿宋_GB2312" w:eastAsia="仿宋_GB2312" w:cs="仿宋_GB2312"/>
          <w:color w:val="auto"/>
          <w:sz w:val="32"/>
          <w:szCs w:val="32"/>
          <w:highlight w:val="none"/>
          <w:lang w:val="en-US" w:eastAsia="zh-CN"/>
        </w:rPr>
        <w:t>221.53</w:t>
      </w:r>
      <w:r>
        <w:rPr>
          <w:rFonts w:hint="eastAsia" w:ascii="仿宋_GB2312" w:hAnsi="仿宋_GB2312" w:eastAsia="仿宋_GB2312" w:cs="仿宋_GB2312"/>
          <w:color w:val="auto"/>
          <w:sz w:val="32"/>
          <w:szCs w:val="32"/>
          <w:highlight w:val="none"/>
        </w:rPr>
        <w:t>亿元。</w:t>
      </w:r>
    </w:p>
    <w:p>
      <w:pPr>
        <w:keepNext w:val="0"/>
        <w:keepLines w:val="0"/>
        <w:pageBreakBefore w:val="0"/>
        <w:widowControl/>
        <w:kinsoku/>
        <w:wordWrap/>
        <w:overflowPunct/>
        <w:topLinePunct w:val="0"/>
        <w:autoSpaceDE/>
        <w:autoSpaceDN/>
        <w:bidi w:val="0"/>
        <w:adjustRightInd/>
        <w:snapToGrid/>
        <w:spacing w:after="0" w:line="579" w:lineRule="exact"/>
        <w:ind w:left="0" w:right="0" w:firstLine="0" w:firstLineChars="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图表3-1福田区202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年专项债务情况表</w:t>
      </w:r>
    </w:p>
    <w:p>
      <w:pPr>
        <w:keepNext w:val="0"/>
        <w:keepLines w:val="0"/>
        <w:pageBreakBefore w:val="0"/>
        <w:widowControl/>
        <w:kinsoku/>
        <w:wordWrap/>
        <w:overflowPunct/>
        <w:topLinePunct w:val="0"/>
        <w:autoSpaceDE/>
        <w:autoSpaceDN/>
        <w:bidi w:val="0"/>
        <w:adjustRightInd/>
        <w:snapToGrid/>
        <w:spacing w:after="0" w:line="579" w:lineRule="exact"/>
        <w:ind w:left="0" w:right="0" w:firstLine="560" w:firstLineChars="200"/>
        <w:jc w:val="righ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单位：亿元</w:t>
      </w: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41"/>
        <w:gridCol w:w="3089"/>
        <w:gridCol w:w="35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31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项目</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2023年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31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专项债务限额</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firstLineChars="0"/>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221.53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31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专项债务余额</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firstLineChars="0"/>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221.53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14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债券结构</w:t>
            </w: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1-3(含)年</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after="0" w:line="240" w:lineRule="auto"/>
              <w:ind w:left="0" w:right="0" w:firstLine="0" w:firstLineChars="0"/>
              <w:jc w:val="center"/>
              <w:textAlignment w:val="auto"/>
              <w:rPr>
                <w:rFonts w:hint="default" w:ascii="仿宋_GB2312" w:hAnsi="仿宋_GB2312" w:eastAsia="仿宋_GB2312" w:cs="仿宋_GB2312"/>
                <w:color w:val="auto"/>
                <w:sz w:val="21"/>
                <w:szCs w:val="21"/>
                <w:lang w:val="en-US"/>
              </w:rPr>
            </w:pPr>
            <w:bookmarkStart w:id="2" w:name="_GoBack"/>
            <w:bookmarkEnd w:id="2"/>
            <w:r>
              <w:rPr>
                <w:rFonts w:hint="eastAsia" w:ascii="仿宋_GB2312" w:hAnsi="仿宋_GB2312" w:eastAsia="仿宋_GB2312" w:cs="仿宋_GB2312"/>
                <w:color w:val="auto"/>
                <w:sz w:val="21"/>
                <w:szCs w:val="21"/>
                <w:lang w:val="en-US" w:eastAsia="zh-CN"/>
              </w:rPr>
              <w:t>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1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1"/>
                <w:szCs w:val="21"/>
              </w:rPr>
            </w:pP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3-5(含)年</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14.70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1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1"/>
                <w:szCs w:val="21"/>
              </w:rPr>
            </w:pP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5-10(含)年</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14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1"/>
                <w:szCs w:val="21"/>
              </w:rPr>
            </w:pPr>
          </w:p>
        </w:tc>
        <w:tc>
          <w:tcPr>
            <w:tcW w:w="16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10年以后</w:t>
            </w:r>
          </w:p>
        </w:tc>
        <w:tc>
          <w:tcPr>
            <w:tcW w:w="18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color w:val="auto"/>
                <w:sz w:val="21"/>
                <w:szCs w:val="21"/>
                <w:lang w:val="en-US" w:eastAsia="zh-CN"/>
              </w:rPr>
              <w:t>166.01</w:t>
            </w:r>
          </w:p>
        </w:tc>
      </w:tr>
    </w:tbl>
    <w:p>
      <w:pPr>
        <w:keepNext w:val="0"/>
        <w:keepLines w:val="0"/>
        <w:pageBreakBefore w:val="0"/>
        <w:widowControl/>
        <w:kinsoku/>
        <w:wordWrap/>
        <w:overflowPunct/>
        <w:topLinePunct w:val="0"/>
        <w:autoSpaceDE/>
        <w:autoSpaceDN/>
        <w:bidi w:val="0"/>
        <w:adjustRightInd/>
        <w:snapToGrid/>
        <w:spacing w:after="0" w:line="579" w:lineRule="exact"/>
        <w:ind w:left="0"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（三）加强债务管理，防范债务风险的政策措施</w:t>
      </w:r>
    </w:p>
    <w:p>
      <w:pPr>
        <w:keepNext w:val="0"/>
        <w:keepLines w:val="0"/>
        <w:pageBreakBefore w:val="0"/>
        <w:widowControl/>
        <w:kinsoku/>
        <w:wordWrap/>
        <w:overflowPunct/>
        <w:topLinePunct w:val="0"/>
        <w:autoSpaceDE/>
        <w:autoSpaceDN/>
        <w:bidi w:val="0"/>
        <w:adjustRightInd/>
        <w:snapToGrid/>
        <w:spacing w:after="0" w:line="579" w:lineRule="exact"/>
        <w:ind w:right="0"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福田区大力推进政府债务管理改革，优化债务结构，强化债务管理，降低债务成本，严控债务风险，在全力服务保障深圳经济社会发展的同时，牢牢守住不发生系统性</w:t>
      </w:r>
      <w:r>
        <w:rPr>
          <w:rFonts w:hint="eastAsia" w:ascii="仿宋_GB2312" w:hAnsi="仿宋_GB2312" w:eastAsia="仿宋_GB2312" w:cs="仿宋_GB2312"/>
          <w:color w:val="auto"/>
          <w:sz w:val="32"/>
          <w:szCs w:val="32"/>
          <w:lang w:eastAsia="zh-CN"/>
        </w:rPr>
        <w:t>金融</w:t>
      </w:r>
      <w:r>
        <w:rPr>
          <w:rFonts w:hint="eastAsia" w:ascii="仿宋_GB2312" w:hAnsi="仿宋_GB2312" w:eastAsia="仿宋_GB2312" w:cs="仿宋_GB2312"/>
          <w:color w:val="auto"/>
          <w:sz w:val="32"/>
          <w:szCs w:val="32"/>
        </w:rPr>
        <w:t>风险的底线。具体如下：</w:t>
      </w:r>
    </w:p>
    <w:p>
      <w:pPr>
        <w:keepNext w:val="0"/>
        <w:keepLines w:val="0"/>
        <w:pageBreakBefore w:val="0"/>
        <w:widowControl/>
        <w:kinsoku/>
        <w:wordWrap/>
        <w:overflowPunct/>
        <w:topLinePunct w:val="0"/>
        <w:autoSpaceDE/>
        <w:autoSpaceDN/>
        <w:bidi w:val="0"/>
        <w:adjustRightInd/>
        <w:snapToGrid/>
        <w:spacing w:after="0" w:line="579" w:lineRule="exact"/>
        <w:ind w:right="0" w:firstLine="642"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强化政府债务管理组织领导。区委、区政府主要领导亲自研究部署政府债务管理工作，各级各部门积极推进狠抓落实，进一步提高全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政府债务管理水平，建设债券全周期管理系统，全口径监测政府债务和隐性债务情况，进一步加强政府债务风险防控能力，强化政府债务风险应对能力，提高全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政府债务管理水平。</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2"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健全政府债务管理制度框架体系。认真贯彻落实《中华人民共和国预算法》、《国务院关于加强地方政府性债务管理的意见》（国发〔2014〕43号）、</w:t>
      </w:r>
      <w:r>
        <w:rPr>
          <w:rFonts w:hint="eastAsia" w:ascii="仿宋_GB2312" w:hAnsi="仿宋_GB2312" w:eastAsia="仿宋_GB2312" w:cs="仿宋_GB2312"/>
          <w:sz w:val="32"/>
          <w:szCs w:val="32"/>
          <w:lang w:eastAsia="zh-CN"/>
        </w:rPr>
        <w:t>《广东省人民政府办公厅关于印发广东省政府性债务风险应急处置预案的通知》（粤办函〔2017〕729号）</w:t>
      </w:r>
      <w:r>
        <w:rPr>
          <w:rFonts w:hint="eastAsia" w:ascii="仿宋_GB2312" w:hAnsi="仿宋_GB2312" w:eastAsia="仿宋_GB2312" w:cs="仿宋_GB2312"/>
          <w:color w:val="auto"/>
          <w:sz w:val="32"/>
          <w:szCs w:val="32"/>
        </w:rPr>
        <w:t>，对债务风险事件建立分组响应机制，实施分类应急处置，进一步健全政府债务风险管理机制。持续完善政府债务管理体系，债券资金的发行和偿还已明确纳入预算管理，同时持续推进债务风险预警方案的制定工作。</w:t>
      </w:r>
    </w:p>
    <w:p>
      <w:pPr>
        <w:keepNext w:val="0"/>
        <w:keepLines w:val="0"/>
        <w:pageBreakBefore w:val="0"/>
        <w:widowControl/>
        <w:kinsoku/>
        <w:wordWrap/>
        <w:overflowPunct/>
        <w:topLinePunct w:val="0"/>
        <w:autoSpaceDE/>
        <w:autoSpaceDN/>
        <w:bidi w:val="0"/>
        <w:adjustRightInd/>
        <w:snapToGrid/>
        <w:spacing w:after="0" w:line="579" w:lineRule="exact"/>
        <w:ind w:left="0" w:right="0" w:firstLine="642"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强化政府债务限额管理，控制债务规模。全面实行政府债务限额管理，对政府债务设置“天花板”，建立政府举债审批工作机制，严格限定政府举债程序和资金用途。同时，结合债务风险指标和新增债券安排，对全</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政府债务进行及时调整，合理确定政府债务限额，努力使政府债务总量和结构处于较为合理的水平。</w:t>
      </w:r>
    </w:p>
    <w:sectPr>
      <w:pgSz w:w="11900" w:h="16838"/>
      <w:pgMar w:top="1440" w:right="1440" w:bottom="1440" w:left="1440" w:header="0" w:footer="0" w:gutter="0"/>
      <w:cols w:equalWidth="0" w:num="1">
        <w:col w:w="902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DE738"/>
    <w:rsid w:val="143BE953"/>
    <w:rsid w:val="555F2478"/>
    <w:rsid w:val="5A7DA432"/>
    <w:rsid w:val="5DBF18C7"/>
    <w:rsid w:val="5EEDAE02"/>
    <w:rsid w:val="5F6F708E"/>
    <w:rsid w:val="5F7B3C04"/>
    <w:rsid w:val="666F94B1"/>
    <w:rsid w:val="68FFE4F9"/>
    <w:rsid w:val="6FD5927D"/>
    <w:rsid w:val="6FEFA75B"/>
    <w:rsid w:val="77C51558"/>
    <w:rsid w:val="77D3773E"/>
    <w:rsid w:val="78EED9F6"/>
    <w:rsid w:val="7BEF0E29"/>
    <w:rsid w:val="7DED3F45"/>
    <w:rsid w:val="7DFFCA46"/>
    <w:rsid w:val="7EDF2259"/>
    <w:rsid w:val="7FBF89B9"/>
    <w:rsid w:val="8BAF04EA"/>
    <w:rsid w:val="A77B300F"/>
    <w:rsid w:val="ADFA42D9"/>
    <w:rsid w:val="BFBEBECF"/>
    <w:rsid w:val="CBFF3265"/>
    <w:rsid w:val="DE65DEE8"/>
    <w:rsid w:val="DFDFFDF7"/>
    <w:rsid w:val="EB3A5C2E"/>
    <w:rsid w:val="EBEF4472"/>
    <w:rsid w:val="EFEA050D"/>
    <w:rsid w:val="F3E5EB90"/>
    <w:rsid w:val="F6FD6566"/>
    <w:rsid w:val="F7FF82ED"/>
    <w:rsid w:val="FBBA7642"/>
    <w:rsid w:val="FC9EF7AC"/>
    <w:rsid w:val="FD9B3F61"/>
    <w:rsid w:val="FEFF962B"/>
    <w:rsid w:val="FF59B55E"/>
    <w:rsid w:val="FFF32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2"/>
      <w:szCs w:val="22"/>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customStyle="1" w:styleId="4">
    <w:name w:val="font51"/>
    <w:basedOn w:val="3"/>
    <w:qFormat/>
    <w:uiPriority w:val="0"/>
    <w:rPr>
      <w:rFonts w:ascii="Arial" w:hAnsi="Arial" w:cs="Arial"/>
      <w:color w:val="000000"/>
      <w:sz w:val="21"/>
      <w:szCs w:val="21"/>
      <w:u w:val="none"/>
    </w:rPr>
  </w:style>
  <w:style w:type="character" w:customStyle="1" w:styleId="5">
    <w:name w:val="font41"/>
    <w:basedOn w:val="3"/>
    <w:qFormat/>
    <w:uiPriority w:val="0"/>
    <w:rPr>
      <w:rFonts w:hint="eastAsia" w:ascii="宋体" w:hAnsi="宋体" w:eastAsia="宋体" w:cs="宋体"/>
      <w:color w:val="000000"/>
      <w:sz w:val="21"/>
      <w:szCs w:val="21"/>
      <w:u w:val="none"/>
    </w:rPr>
  </w:style>
  <w:style w:type="character" w:customStyle="1" w:styleId="6">
    <w:name w:val="font11"/>
    <w:basedOn w:val="3"/>
    <w:qFormat/>
    <w:uiPriority w:val="0"/>
    <w:rPr>
      <w:rFonts w:hint="default" w:ascii="Arial" w:hAnsi="Arial" w:cs="Arial"/>
      <w:b/>
      <w:color w:val="000000"/>
      <w:sz w:val="21"/>
      <w:szCs w:val="21"/>
      <w:u w:val="none"/>
    </w:rPr>
  </w:style>
  <w:style w:type="character" w:customStyle="1" w:styleId="7">
    <w:name w:val="font31"/>
    <w:basedOn w:val="3"/>
    <w:qFormat/>
    <w:uiPriority w:val="0"/>
    <w:rPr>
      <w:rFonts w:hint="eastAsia" w:ascii="宋体" w:hAnsi="宋体" w:eastAsia="宋体" w:cs="宋体"/>
      <w:b/>
      <w:color w:val="000000"/>
      <w:sz w:val="21"/>
      <w:szCs w:val="21"/>
      <w:u w:val="none"/>
    </w:rPr>
  </w:style>
  <w:style w:type="character" w:customStyle="1" w:styleId="8">
    <w:name w:val="font01"/>
    <w:basedOn w:val="3"/>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3</Characters>
  <Lines>1</Lines>
  <Paragraphs>1</Paragraphs>
  <TotalTime>7</TotalTime>
  <ScaleCrop>false</ScaleCrop>
  <LinksUpToDate>false</LinksUpToDate>
  <CharactersWithSpaces>3</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2022-07-14T18:55:00Z</dcterms:created>
  <dc:creator>Windows User</dc:creator>
  <cp:lastModifiedBy>刘李青</cp:lastModifiedBy>
  <dcterms:modified xsi:type="dcterms:W3CDTF">2024-07-05T14:51:09Z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64F60E4152D63312A1BC7B66BD79BB77</vt:lpwstr>
  </property>
</Properties>
</file>