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000" w:type="pct"/>
        <w:tblInd w:w="0" w:type="dxa"/>
        <w:tblLayout w:type="fixed"/>
        <w:tblCellMar>
          <w:top w:w="0" w:type="dxa"/>
          <w:left w:w="108" w:type="dxa"/>
          <w:bottom w:w="0" w:type="dxa"/>
          <w:right w:w="108" w:type="dxa"/>
        </w:tblCellMar>
      </w:tblPr>
      <w:tblGrid>
        <w:gridCol w:w="1176"/>
        <w:gridCol w:w="2110"/>
        <w:gridCol w:w="1559"/>
        <w:gridCol w:w="1984"/>
        <w:gridCol w:w="2571"/>
      </w:tblGrid>
      <w:tr>
        <w:tblPrEx>
          <w:tblCellMar>
            <w:top w:w="0" w:type="dxa"/>
            <w:left w:w="108" w:type="dxa"/>
            <w:bottom w:w="0" w:type="dxa"/>
            <w:right w:w="108" w:type="dxa"/>
          </w:tblCellMar>
        </w:tblPrEx>
        <w:trPr>
          <w:trHeight w:val="1032" w:hRule="exact"/>
        </w:trPr>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1951"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福保街道食堂餐饮服务外包项目</w:t>
            </w:r>
          </w:p>
        </w:tc>
        <w:tc>
          <w:tcPr>
            <w:tcW w:w="105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36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lang w:val="en-US" w:eastAsia="zh-CN"/>
              </w:rPr>
            </w:pPr>
            <w:r>
              <w:rPr>
                <w:rFonts w:hint="eastAsia" w:ascii="仿宋_GB2312" w:hAnsi="仿宋_GB2312" w:eastAsia="仿宋_GB2312" w:cs="仿宋_GB2312"/>
                <w:kern w:val="0"/>
                <w:sz w:val="24"/>
                <w:lang w:val="en-US" w:eastAsia="zh-CN"/>
              </w:rPr>
              <w:t>75.5万元</w:t>
            </w:r>
          </w:p>
        </w:tc>
      </w:tr>
      <w:tr>
        <w:tblPrEx>
          <w:tblCellMar>
            <w:top w:w="0" w:type="dxa"/>
            <w:left w:w="108" w:type="dxa"/>
            <w:bottom w:w="0" w:type="dxa"/>
            <w:right w:w="108" w:type="dxa"/>
          </w:tblCellMar>
        </w:tblPrEx>
        <w:trPr>
          <w:trHeight w:val="722" w:hRule="exact"/>
        </w:trPr>
        <w:tc>
          <w:tcPr>
            <w:tcW w:w="6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1951"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党政综合办公室</w:t>
            </w:r>
          </w:p>
        </w:tc>
        <w:tc>
          <w:tcPr>
            <w:tcW w:w="10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36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陈辉</w:t>
            </w:r>
          </w:p>
        </w:tc>
      </w:tr>
      <w:tr>
        <w:tblPrEx>
          <w:tblCellMar>
            <w:top w:w="0" w:type="dxa"/>
            <w:left w:w="108" w:type="dxa"/>
            <w:bottom w:w="0" w:type="dxa"/>
            <w:right w:w="108" w:type="dxa"/>
          </w:tblCellMar>
        </w:tblPrEx>
        <w:trPr>
          <w:trHeight w:val="240" w:hRule="atLeast"/>
        </w:trPr>
        <w:tc>
          <w:tcPr>
            <w:tcW w:w="6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12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828"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4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lang w:eastAsia="zh-CN"/>
              </w:rPr>
              <w:t>公开招标</w:t>
            </w:r>
          </w:p>
        </w:tc>
      </w:tr>
      <w:tr>
        <w:tblPrEx>
          <w:tblCellMar>
            <w:top w:w="0" w:type="dxa"/>
            <w:left w:w="108" w:type="dxa"/>
            <w:bottom w:w="0" w:type="dxa"/>
            <w:right w:w="108" w:type="dxa"/>
          </w:tblCellMar>
        </w:tblPrEx>
        <w:trPr>
          <w:trHeight w:val="680" w:hRule="atLeast"/>
        </w:trPr>
        <w:tc>
          <w:tcPr>
            <w:tcW w:w="6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73" w:type="pct"/>
            <w:gridSpan w:val="4"/>
            <w:tcBorders>
              <w:top w:val="single" w:color="auto" w:sz="4" w:space="0"/>
              <w:left w:val="nil"/>
              <w:bottom w:val="single" w:color="auto" w:sz="4" w:space="0"/>
              <w:right w:val="single" w:color="auto" w:sz="4" w:space="0"/>
            </w:tcBorders>
            <w:vAlign w:val="center"/>
          </w:tcPr>
          <w:p>
            <w:pPr>
              <w:widowControl/>
              <w:spacing w:line="240" w:lineRule="auto"/>
              <w:ind w:firstLine="480" w:firstLineChars="20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为提高食堂的管理水平，解决食堂人员配置难以满足日常运营需求问题，现拟申请继续聘请专业餐饮公司进行管理和操作，切实做好食堂的卫生服务，同时，保障好职工的膳食服务及食品安全 ，</w:t>
            </w:r>
            <w:r>
              <w:rPr>
                <w:rFonts w:hint="eastAsia" w:ascii="仿宋_GB2312" w:hAnsi="仿宋_GB2312" w:eastAsia="仿宋_GB2312" w:cs="仿宋_GB2312"/>
                <w:kern w:val="0"/>
                <w:sz w:val="24"/>
                <w:lang w:val="en-US" w:eastAsia="zh-CN"/>
              </w:rPr>
              <w:t>提升工作人员的满意度和幸福感。</w:t>
            </w:r>
          </w:p>
        </w:tc>
      </w:tr>
      <w:tr>
        <w:tblPrEx>
          <w:tblCellMar>
            <w:top w:w="0" w:type="dxa"/>
            <w:left w:w="108" w:type="dxa"/>
            <w:bottom w:w="0" w:type="dxa"/>
            <w:right w:w="108" w:type="dxa"/>
          </w:tblCellMar>
        </w:tblPrEx>
        <w:trPr>
          <w:trHeight w:val="712" w:hRule="atLeast"/>
        </w:trPr>
        <w:tc>
          <w:tcPr>
            <w:tcW w:w="62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73"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承包甲方餐饮服务，为甲方职工提供膳食、餐厅卫生等服务，</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主要内容包括</w:t>
            </w:r>
            <w:r>
              <w:rPr>
                <w:rFonts w:hint="eastAsia" w:ascii="仿宋_GB2312" w:hAnsi="仿宋_GB2312" w:eastAsia="仿宋_GB2312" w:cs="仿宋_GB2312"/>
                <w:kern w:val="0"/>
                <w:sz w:val="24"/>
                <w:lang w:val="en-US" w:eastAsia="zh-CN"/>
              </w:rPr>
              <w:t>：</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lang w:val="en-US" w:eastAsia="zh-CN"/>
              </w:rPr>
              <w:t>一</w:t>
            </w:r>
            <w:r>
              <w:rPr>
                <w:rFonts w:hint="default"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lang w:val="en-US" w:eastAsia="zh-CN"/>
              </w:rPr>
              <w:t>提供创新管理：实施标准化、规范化、数字化的科学餐饮管理。</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(二)</w:t>
            </w:r>
            <w:r>
              <w:rPr>
                <w:rFonts w:hint="eastAsia" w:ascii="仿宋_GB2312" w:hAnsi="仿宋_GB2312" w:eastAsia="仿宋_GB2312" w:cs="仿宋_GB2312"/>
                <w:kern w:val="0"/>
                <w:sz w:val="24"/>
                <w:lang w:val="en-US" w:eastAsia="zh-CN"/>
              </w:rPr>
              <w:t>提供</w:t>
            </w:r>
            <w:r>
              <w:rPr>
                <w:rFonts w:hint="default" w:ascii="仿宋_GB2312" w:hAnsi="仿宋_GB2312" w:eastAsia="仿宋_GB2312" w:cs="仿宋_GB2312"/>
                <w:kern w:val="0"/>
                <w:sz w:val="24"/>
                <w:lang w:val="en-US" w:eastAsia="zh-CN"/>
              </w:rPr>
              <w:t>餐厅食品原材料、低值易耗品的申请采购、验收入库、库房保</w:t>
            </w:r>
            <w:r>
              <w:rPr>
                <w:rFonts w:hint="eastAsia" w:ascii="仿宋_GB2312" w:hAnsi="仿宋_GB2312" w:eastAsia="仿宋_GB2312" w:cs="仿宋_GB2312"/>
                <w:kern w:val="0"/>
                <w:sz w:val="24"/>
                <w:lang w:val="en-US" w:eastAsia="zh-CN"/>
              </w:rPr>
              <w:t>管。</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 xml:space="preserve">(三)协助甲方餐厅经营核算、成本管控。 </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 xml:space="preserve">(四)协助甲方餐厅日常运营管理。 </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(五)</w:t>
            </w:r>
            <w:r>
              <w:rPr>
                <w:rFonts w:hint="eastAsia" w:ascii="仿宋_GB2312" w:hAnsi="仿宋_GB2312" w:eastAsia="仿宋_GB2312" w:cs="仿宋_GB2312"/>
                <w:kern w:val="0"/>
                <w:sz w:val="24"/>
                <w:lang w:val="en-US" w:eastAsia="zh-CN"/>
              </w:rPr>
              <w:t>提供</w:t>
            </w:r>
            <w:r>
              <w:rPr>
                <w:rFonts w:hint="default" w:ascii="仿宋_GB2312" w:hAnsi="仿宋_GB2312" w:eastAsia="仿宋_GB2312" w:cs="仿宋_GB2312"/>
                <w:kern w:val="0"/>
                <w:sz w:val="24"/>
                <w:lang w:val="en-US" w:eastAsia="zh-CN"/>
              </w:rPr>
              <w:t>菜点、菜谱的设计、创新，菜点的加工、生产、制作</w:t>
            </w:r>
            <w:r>
              <w:rPr>
                <w:rFonts w:hint="eastAsia" w:ascii="仿宋_GB2312" w:hAnsi="仿宋_GB2312" w:eastAsia="仿宋_GB2312" w:cs="仿宋_GB2312"/>
                <w:kern w:val="0"/>
                <w:sz w:val="24"/>
                <w:lang w:val="en-US" w:eastAsia="zh-CN"/>
              </w:rPr>
              <w:t>等</w:t>
            </w:r>
            <w:r>
              <w:rPr>
                <w:rFonts w:hint="default" w:ascii="仿宋_GB2312" w:hAnsi="仿宋_GB2312" w:eastAsia="仿宋_GB2312" w:cs="仿宋_GB2312"/>
                <w:kern w:val="0"/>
                <w:sz w:val="24"/>
                <w:lang w:val="en-US" w:eastAsia="zh-CN"/>
              </w:rPr>
              <w:t xml:space="preserve">服务。 </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(六)</w:t>
            </w:r>
            <w:r>
              <w:rPr>
                <w:rFonts w:hint="eastAsia" w:ascii="仿宋_GB2312" w:hAnsi="仿宋_GB2312" w:eastAsia="仿宋_GB2312" w:cs="仿宋_GB2312"/>
                <w:kern w:val="0"/>
                <w:sz w:val="24"/>
                <w:lang w:val="en-US" w:eastAsia="zh-CN"/>
              </w:rPr>
              <w:t>提供</w:t>
            </w:r>
            <w:r>
              <w:rPr>
                <w:rFonts w:hint="default" w:ascii="仿宋_GB2312" w:hAnsi="仿宋_GB2312" w:eastAsia="仿宋_GB2312" w:cs="仿宋_GB2312"/>
                <w:kern w:val="0"/>
                <w:sz w:val="24"/>
                <w:lang w:val="en-US" w:eastAsia="zh-CN"/>
              </w:rPr>
              <w:t>餐厅日常卫生清洁，餐厅、厨具的日常清洗</w:t>
            </w:r>
            <w:r>
              <w:rPr>
                <w:rFonts w:hint="eastAsia" w:ascii="仿宋_GB2312" w:hAnsi="仿宋_GB2312" w:eastAsia="仿宋_GB2312" w:cs="仿宋_GB2312"/>
                <w:kern w:val="0"/>
                <w:sz w:val="24"/>
                <w:lang w:val="en-US" w:eastAsia="zh-CN"/>
              </w:rPr>
              <w:t>服务</w:t>
            </w:r>
            <w:r>
              <w:rPr>
                <w:rFonts w:hint="default" w:ascii="仿宋_GB2312" w:hAnsi="仿宋_GB2312" w:eastAsia="仿宋_GB2312" w:cs="仿宋_GB2312"/>
                <w:kern w:val="0"/>
                <w:sz w:val="24"/>
                <w:lang w:val="en-US" w:eastAsia="zh-CN"/>
              </w:rPr>
              <w:t>。</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(七)提供培训服务</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 xml:space="preserve">1、 </w:t>
            </w:r>
            <w:r>
              <w:rPr>
                <w:rFonts w:hint="default" w:ascii="仿宋_GB2312" w:hAnsi="仿宋_GB2312" w:eastAsia="仿宋_GB2312" w:cs="仿宋_GB2312"/>
                <w:kern w:val="0"/>
                <w:sz w:val="24"/>
                <w:lang w:val="en-US" w:eastAsia="zh-CN"/>
              </w:rPr>
              <w:t>思想教育培训</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 xml:space="preserve">2、 厨艺培训 </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3、 服务礼仪培训</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4、 食品安全培训</w:t>
            </w:r>
          </w:p>
          <w:p>
            <w:pPr>
              <w:widowControl/>
              <w:spacing w:line="240" w:lineRule="auto"/>
              <w:ind w:firstLine="0" w:firstLineChars="0"/>
              <w:jc w:val="left"/>
            </w:pPr>
            <w:r>
              <w:rPr>
                <w:rFonts w:hint="eastAsia" w:ascii="仿宋_GB2312" w:hAnsi="仿宋_GB2312" w:eastAsia="仿宋_GB2312" w:cs="仿宋_GB2312"/>
                <w:kern w:val="0"/>
                <w:sz w:val="24"/>
                <w:lang w:val="en-US" w:eastAsia="zh-CN"/>
              </w:rPr>
              <w:t>(八)双方约定的其他事项。</w:t>
            </w:r>
          </w:p>
        </w:tc>
      </w:tr>
      <w:tr>
        <w:tblPrEx>
          <w:tblCellMar>
            <w:top w:w="0" w:type="dxa"/>
            <w:left w:w="108" w:type="dxa"/>
            <w:bottom w:w="0" w:type="dxa"/>
            <w:right w:w="108" w:type="dxa"/>
          </w:tblCellMar>
        </w:tblPrEx>
        <w:trPr>
          <w:trHeight w:val="2601" w:hRule="atLeast"/>
        </w:trPr>
        <w:tc>
          <w:tcPr>
            <w:tcW w:w="626"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73"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202</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年8月1日-202</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lang w:eastAsia="zh-CN"/>
              </w:rPr>
              <w:t>年7月31日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本项目采用按月</w:t>
            </w:r>
            <w:bookmarkStart w:id="0" w:name="_GoBack"/>
            <w:bookmarkEnd w:id="0"/>
            <w:r>
              <w:rPr>
                <w:rFonts w:hint="eastAsia" w:ascii="仿宋_GB2312" w:hAnsi="仿宋_GB2312" w:eastAsia="仿宋_GB2312" w:cs="仿宋_GB2312"/>
                <w:kern w:val="0"/>
                <w:sz w:val="24"/>
              </w:rPr>
              <w:t>付款：合同签订后，中标供应商</w:t>
            </w:r>
            <w:r>
              <w:rPr>
                <w:rFonts w:hint="eastAsia" w:ascii="仿宋_GB2312" w:hAnsi="仿宋_GB2312" w:eastAsia="仿宋_GB2312" w:cs="仿宋_GB2312"/>
                <w:kern w:val="0"/>
                <w:sz w:val="24"/>
                <w:lang w:eastAsia="zh-CN"/>
              </w:rPr>
              <w:t>每月</w:t>
            </w:r>
            <w:r>
              <w:rPr>
                <w:rFonts w:hint="eastAsia" w:ascii="仿宋_GB2312" w:hAnsi="仿宋_GB2312" w:eastAsia="仿宋_GB2312" w:cs="仿宋_GB2312"/>
                <w:kern w:val="0"/>
                <w:sz w:val="24"/>
              </w:rPr>
              <w:t>提供符合规定的发票，</w:t>
            </w:r>
            <w:r>
              <w:rPr>
                <w:rFonts w:hint="eastAsia" w:ascii="仿宋_GB2312" w:hAnsi="仿宋_GB2312" w:eastAsia="仿宋_GB2312" w:cs="仿宋_GB2312"/>
                <w:kern w:val="0"/>
                <w:sz w:val="24"/>
                <w:lang w:eastAsia="zh-CN"/>
              </w:rPr>
              <w:t>街道办根据合同约定按月支付</w:t>
            </w:r>
            <w:r>
              <w:rPr>
                <w:rFonts w:hint="eastAsia" w:ascii="仿宋_GB2312" w:hAnsi="仿宋_GB2312" w:eastAsia="仿宋_GB2312" w:cs="仿宋_GB2312"/>
                <w:kern w:val="0"/>
                <w:sz w:val="24"/>
              </w:rPr>
              <w:t>。</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color w:val="auto"/>
                <w:kern w:val="0"/>
                <w:sz w:val="24"/>
                <w:lang w:eastAsia="zh-CN"/>
              </w:rPr>
              <w:t>在预算价格以内</w:t>
            </w:r>
            <w:r>
              <w:rPr>
                <w:rFonts w:hint="eastAsia" w:ascii="仿宋_GB2312" w:hAnsi="仿宋_GB2312" w:eastAsia="仿宋_GB2312" w:cs="仿宋_GB2312"/>
                <w:kern w:val="0"/>
                <w:sz w:val="24"/>
                <w:lang w:eastAsia="zh-CN"/>
              </w:rPr>
              <w:t>。</w:t>
            </w:r>
          </w:p>
        </w:tc>
      </w:tr>
      <w:tr>
        <w:tblPrEx>
          <w:tblCellMar>
            <w:top w:w="0" w:type="dxa"/>
            <w:left w:w="108" w:type="dxa"/>
            <w:bottom w:w="0" w:type="dxa"/>
            <w:right w:w="108" w:type="dxa"/>
          </w:tblCellMar>
        </w:tblPrEx>
        <w:trPr>
          <w:trHeight w:val="1430" w:hRule="atLeast"/>
        </w:trPr>
        <w:tc>
          <w:tcPr>
            <w:tcW w:w="626"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73"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26"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73"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投标报价单（须写出详实内容：包括但不限于价格、服务项目、内容、服务人数等）；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公司详细简介；</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可体现投标人综合实力及运营管理能力的其他资料</w:t>
            </w:r>
          </w:p>
          <w:p>
            <w:pPr>
              <w:widowControl/>
              <w:spacing w:line="240" w:lineRule="auto"/>
              <w:ind w:firstLine="0" w:firstLineChars="0"/>
              <w:jc w:val="left"/>
              <w:rPr>
                <w:rFonts w:hint="default"/>
                <w:lang w:val="en-US" w:eastAsia="zh-CN"/>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ZDRlMzI2Y2M3YWVkOTgzZjAyNWMxNTYwY2ZkYmEifQ=="/>
  </w:docVars>
  <w:rsids>
    <w:rsidRoot w:val="194B399D"/>
    <w:rsid w:val="03EDC5FF"/>
    <w:rsid w:val="091C13C7"/>
    <w:rsid w:val="0A4669B5"/>
    <w:rsid w:val="10FD351B"/>
    <w:rsid w:val="11312983"/>
    <w:rsid w:val="14C24AD9"/>
    <w:rsid w:val="172C00A3"/>
    <w:rsid w:val="18B761FE"/>
    <w:rsid w:val="194B399D"/>
    <w:rsid w:val="1AF3636A"/>
    <w:rsid w:val="1CD203FA"/>
    <w:rsid w:val="1D1041D7"/>
    <w:rsid w:val="251026CF"/>
    <w:rsid w:val="2B8F5708"/>
    <w:rsid w:val="2E544988"/>
    <w:rsid w:val="2FBB6ACC"/>
    <w:rsid w:val="304A7E50"/>
    <w:rsid w:val="334D7C7F"/>
    <w:rsid w:val="340E45C5"/>
    <w:rsid w:val="3F1434CE"/>
    <w:rsid w:val="3FD75F19"/>
    <w:rsid w:val="416451E2"/>
    <w:rsid w:val="43A21D5C"/>
    <w:rsid w:val="447E6A90"/>
    <w:rsid w:val="4E144BA8"/>
    <w:rsid w:val="4E1E0521"/>
    <w:rsid w:val="4E5DED3C"/>
    <w:rsid w:val="52FE6B4C"/>
    <w:rsid w:val="56057FF3"/>
    <w:rsid w:val="587C663C"/>
    <w:rsid w:val="5A771A36"/>
    <w:rsid w:val="5C8F69B7"/>
    <w:rsid w:val="5E1C1023"/>
    <w:rsid w:val="5E826883"/>
    <w:rsid w:val="5EBA216A"/>
    <w:rsid w:val="5F5F44FD"/>
    <w:rsid w:val="66AD6A92"/>
    <w:rsid w:val="66C374B6"/>
    <w:rsid w:val="6A1555D3"/>
    <w:rsid w:val="6FB68F5D"/>
    <w:rsid w:val="77FFE9D7"/>
    <w:rsid w:val="7BF6537B"/>
    <w:rsid w:val="7E97605D"/>
    <w:rsid w:val="7F34677C"/>
    <w:rsid w:val="7F9FAEDC"/>
    <w:rsid w:val="9FD5F7F1"/>
    <w:rsid w:val="9FFF36C9"/>
    <w:rsid w:val="B4FB8A61"/>
    <w:rsid w:val="BFF01D42"/>
    <w:rsid w:val="D1CAAA8A"/>
    <w:rsid w:val="EB9A6BFB"/>
    <w:rsid w:val="ECEA50B3"/>
    <w:rsid w:val="F3F93FD9"/>
    <w:rsid w:val="FDB5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Plain Text"/>
    <w:basedOn w:val="1"/>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1086</Words>
  <Characters>1142</Characters>
  <Lines>0</Lines>
  <Paragraphs>0</Paragraphs>
  <TotalTime>0</TotalTime>
  <ScaleCrop>false</ScaleCrop>
  <LinksUpToDate>false</LinksUpToDate>
  <CharactersWithSpaces>1147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2023-11-05T01:41:00Z</dcterms:created>
  <dc:creator>lulu</dc:creator>
  <cp:lastModifiedBy>企业用户_1144748356</cp:lastModifiedBy>
  <cp:lastPrinted>2024-05-08T15:22:00Z</cp:lastPrinted>
  <dcterms:modified xsi:type="dcterms:W3CDTF">2024-06-06T03:20:28Z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61539485CC0F017A14F43A6672BC0DDE</vt:lpwstr>
  </property>
</Properties>
</file>