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color w:val="auto"/>
          <w:sz w:val="32"/>
          <w:szCs w:val="32"/>
          <w:lang w:val="en-US" w:eastAsia="zh-CN"/>
        </w:rPr>
      </w:pPr>
      <w:bookmarkStart w:id="0" w:name="_GoBack"/>
      <w:bookmarkEnd w:id="0"/>
      <w:r>
        <w:rPr>
          <w:rFonts w:hint="eastAsia" w:ascii="方正小标宋简体" w:hAnsi="方正小标宋简体" w:eastAsia="方正小标宋简体" w:cs="方正小标宋简体"/>
          <w:sz w:val="44"/>
          <w:szCs w:val="44"/>
        </w:rPr>
        <w:t>福田区人力资源</w:t>
      </w:r>
      <w:r>
        <w:rPr>
          <w:rFonts w:hint="eastAsia" w:ascii="方正小标宋简体" w:hAnsi="方正小标宋简体" w:eastAsia="方正小标宋简体" w:cs="方正小标宋简体"/>
          <w:sz w:val="44"/>
          <w:szCs w:val="44"/>
          <w:lang w:val="en-US" w:eastAsia="zh-CN"/>
        </w:rPr>
        <w:t>综合事务中心“福田人力官”评选服务项目</w:t>
      </w:r>
      <w:r>
        <w:rPr>
          <w:rFonts w:hint="eastAsia" w:ascii="方正小标宋_GBK" w:hAnsi="方正小标宋_GBK" w:eastAsia="方正小标宋_GBK" w:cs="方正小标宋_GBK"/>
          <w:kern w:val="2"/>
          <w:sz w:val="44"/>
          <w:szCs w:val="44"/>
          <w:lang w:eastAsia="zh-CN"/>
        </w:rPr>
        <w:t>的</w:t>
      </w:r>
      <w:r>
        <w:rPr>
          <w:rFonts w:hint="eastAsia" w:ascii="方正小标宋简体" w:hAnsi="方正小标宋简体" w:eastAsia="方正小标宋简体" w:cs="方正小标宋简体"/>
          <w:sz w:val="44"/>
          <w:szCs w:val="44"/>
          <w:lang w:eastAsia="zh-CN"/>
        </w:rPr>
        <w:t>采购需求</w:t>
      </w:r>
    </w:p>
    <w:p>
      <w:pPr>
        <w:pStyle w:val="3"/>
        <w:rPr>
          <w:rFonts w:hint="eastAsia"/>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color w:val="auto"/>
          <w:sz w:val="32"/>
          <w:szCs w:val="32"/>
          <w:lang w:val="en-US" w:eastAsia="zh-CN"/>
        </w:rPr>
        <w:t>为福田区高质量发展提供有力的人才保障和智力支持，我区将每年从辖区重点企业选拔不超过20名具有战略高度、善于创新人才引进和管理机制、对企业用人留人作出重要贡献的人才资源管理负责人，授予“福田人力官”称号。</w:t>
      </w:r>
      <w:r>
        <w:rPr>
          <w:rFonts w:hint="eastAsia" w:ascii="仿宋_GB2312" w:hAnsi="仿宋_GB2312" w:eastAsia="仿宋_GB2312" w:cs="仿宋_GB2312"/>
          <w:i w:val="0"/>
          <w:caps w:val="0"/>
          <w:color w:val="000000"/>
          <w:spacing w:val="0"/>
          <w:sz w:val="32"/>
          <w:szCs w:val="32"/>
          <w:shd w:val="clear" w:color="auto" w:fill="FFFFFF"/>
        </w:rPr>
        <w:t>现对</w:t>
      </w:r>
      <w:r>
        <w:rPr>
          <w:rFonts w:hint="eastAsia" w:ascii="仿宋_GB2312" w:hAnsi="仿宋_GB2312" w:eastAsia="仿宋_GB2312" w:cs="仿宋_GB2312"/>
          <w:i w:val="0"/>
          <w:caps w:val="0"/>
          <w:color w:val="000000"/>
          <w:spacing w:val="0"/>
          <w:sz w:val="32"/>
          <w:szCs w:val="32"/>
          <w:shd w:val="clear" w:color="auto" w:fill="FFFFFF"/>
          <w:lang w:eastAsia="zh-CN"/>
        </w:rPr>
        <w:t>“福田人力官”评</w:t>
      </w:r>
      <w:r>
        <w:rPr>
          <w:rFonts w:hint="eastAsia" w:ascii="仿宋_GB2312" w:hAnsi="仿宋_GB2312" w:eastAsia="仿宋_GB2312" w:cs="仿宋_GB2312"/>
          <w:i w:val="0"/>
          <w:caps w:val="0"/>
          <w:color w:val="000000"/>
          <w:spacing w:val="0"/>
          <w:sz w:val="32"/>
          <w:szCs w:val="32"/>
          <w:shd w:val="clear" w:color="auto" w:fill="FFFFFF"/>
          <w:lang w:val="en-US" w:eastAsia="zh-CN"/>
        </w:rPr>
        <w:t>选</w:t>
      </w:r>
      <w:r>
        <w:rPr>
          <w:rFonts w:hint="eastAsia" w:ascii="仿宋_GB2312" w:hAnsi="仿宋_GB2312" w:eastAsia="仿宋_GB2312" w:cs="仿宋_GB2312"/>
          <w:i w:val="0"/>
          <w:caps w:val="0"/>
          <w:color w:val="000000"/>
          <w:spacing w:val="0"/>
          <w:sz w:val="32"/>
          <w:szCs w:val="32"/>
          <w:shd w:val="clear" w:color="auto" w:fill="FFFFFF"/>
          <w:lang w:eastAsia="zh-CN"/>
        </w:rPr>
        <w:t>服务项目</w:t>
      </w:r>
      <w:r>
        <w:rPr>
          <w:rFonts w:hint="eastAsia" w:ascii="仿宋_GB2312" w:hAnsi="仿宋_GB2312" w:eastAsia="仿宋_GB2312" w:cs="仿宋_GB2312"/>
          <w:i w:val="0"/>
          <w:caps w:val="0"/>
          <w:color w:val="000000"/>
          <w:spacing w:val="0"/>
          <w:sz w:val="32"/>
          <w:szCs w:val="32"/>
          <w:shd w:val="clear" w:color="auto" w:fill="FFFFFF"/>
        </w:rPr>
        <w:t>进行采购，欢迎符合资格条件的供应商报价。</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采购项目概况</w:t>
      </w:r>
    </w:p>
    <w:p>
      <w:pPr>
        <w:pStyle w:val="4"/>
        <w:keepNext w:val="0"/>
        <w:keepLines w:val="0"/>
        <w:widowControl/>
        <w:suppressLineNumbers w:val="0"/>
        <w:spacing w:before="0" w:beforeAutospacing="0" w:after="0" w:afterAutospacing="0" w:line="56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由供应商提供政策宣讲、遴选方案细化、专家评审等系列服务，</w:t>
      </w:r>
      <w:r>
        <w:rPr>
          <w:rFonts w:hint="eastAsia" w:ascii="仿宋_GB2312" w:hAnsi="仿宋_GB2312" w:eastAsia="仿宋_GB2312" w:cs="仿宋_GB2312"/>
          <w:color w:val="auto"/>
          <w:sz w:val="32"/>
          <w:szCs w:val="32"/>
        </w:rPr>
        <w:t>从辖区重点企业</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选拔不超过20名具有战略高度、善于创新人才引进和管理机制、对企业用人留人做出重要贡献的人才资源管理负责人，授予“福田人力官”称号</w:t>
      </w:r>
      <w:r>
        <w:rPr>
          <w:rFonts w:hint="eastAsia" w:ascii="仿宋_GB2312" w:hAnsi="仿宋_GB2312" w:eastAsia="仿宋_GB2312" w:cs="仿宋_GB2312"/>
          <w:color w:val="auto"/>
          <w:sz w:val="32"/>
          <w:szCs w:val="32"/>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预算金额：人民币</w:t>
      </w:r>
      <w:r>
        <w:rPr>
          <w:rFonts w:hint="eastAsia" w:ascii="仿宋_GB2312" w:hAnsi="仿宋_GB2312" w:eastAsia="仿宋_GB2312" w:cs="仿宋_GB2312"/>
          <w:color w:val="auto"/>
          <w:kern w:val="0"/>
          <w:sz w:val="32"/>
          <w:szCs w:val="32"/>
          <w:highlight w:val="none"/>
          <w:lang w:val="en-US" w:eastAsia="zh-CN" w:bidi="ar-SA"/>
        </w:rPr>
        <w:t>6</w:t>
      </w:r>
      <w:r>
        <w:rPr>
          <w:rFonts w:hint="eastAsia" w:ascii="仿宋_GB2312" w:hAnsi="仿宋_GB2312" w:eastAsia="仿宋_GB2312" w:cs="仿宋_GB2312"/>
          <w:color w:val="auto"/>
          <w:kern w:val="0"/>
          <w:sz w:val="32"/>
          <w:szCs w:val="32"/>
          <w:lang w:val="en-US" w:eastAsia="zh-CN" w:bidi="ar-SA"/>
        </w:rPr>
        <w:t>万元（含税金）。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i w:val="0"/>
          <w:caps w:val="0"/>
          <w:color w:val="000000"/>
          <w:spacing w:val="0"/>
          <w:sz w:val="32"/>
          <w:szCs w:val="32"/>
          <w:lang w:val="en-US" w:eastAsia="zh-CN"/>
        </w:rPr>
        <w:t>二、项目管理和服务要求</w:t>
      </w:r>
      <w:r>
        <w:rPr>
          <w:rFonts w:hint="eastAsia" w:ascii="仿宋_GB2312" w:hAnsi="仿宋_GB2312" w:eastAsia="仿宋_GB2312" w:cs="仿宋_GB2312"/>
          <w:b w:val="0"/>
          <w:i w:val="0"/>
          <w:snapToGrid/>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sz w:val="32"/>
          <w:szCs w:val="32"/>
          <w:lang w:eastAsia="zh-CN"/>
        </w:rPr>
        <w:t>设计遴选方案和流程，以及对评审流程进行完善，制定和细化表格表单。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2、走访企业并</w:t>
      </w:r>
      <w:r>
        <w:rPr>
          <w:rFonts w:hint="eastAsia" w:ascii="仿宋_GB2312" w:hAnsi="仿宋_GB2312" w:eastAsia="仿宋_GB2312" w:cs="仿宋_GB2312"/>
          <w:sz w:val="32"/>
          <w:szCs w:val="32"/>
          <w:lang w:val="en-US" w:eastAsia="zh-CN"/>
        </w:rPr>
        <w:t>向企业宣讲政策和发放申请资料，了解各企业的申报意愿，指导企业填写表格，及时发起申请。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“福田人力官”的遴选采取专家组评审方式，要求供应商推荐至少</w:t>
      </w:r>
      <w:r>
        <w:rPr>
          <w:rFonts w:hint="eastAsia" w:ascii="仿宋_GB2312" w:hAnsi="仿宋_GB2312" w:eastAsia="仿宋_GB2312" w:cs="仿宋_GB2312"/>
          <w:sz w:val="32"/>
          <w:szCs w:val="32"/>
          <w:lang w:val="en-US" w:eastAsia="zh-CN"/>
        </w:rPr>
        <w:t>5名</w:t>
      </w:r>
      <w:r>
        <w:rPr>
          <w:rFonts w:hint="eastAsia" w:ascii="仿宋_GB2312" w:hAnsi="仿宋_GB2312" w:eastAsia="仿宋_GB2312" w:cs="仿宋_GB2312"/>
          <w:sz w:val="32"/>
          <w:szCs w:val="32"/>
          <w:lang w:eastAsia="zh-CN"/>
        </w:rPr>
        <w:t>人力资源</w:t>
      </w:r>
      <w:r>
        <w:rPr>
          <w:rFonts w:hint="eastAsia" w:ascii="仿宋_GB2312" w:hAnsi="仿宋_GB2312" w:eastAsia="仿宋_GB2312" w:cs="仿宋_GB2312"/>
          <w:sz w:val="32"/>
          <w:szCs w:val="32"/>
          <w:lang w:val="en-US" w:eastAsia="zh-CN"/>
        </w:rPr>
        <w:t>行业专家，组成专家评审团。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4、专家组应具备行业认可的专业资质并或行业内具有一定影响力，全流程参与评审工作。</w:t>
      </w:r>
    </w:p>
    <w:p>
      <w:pPr>
        <w:spacing w:line="560" w:lineRule="exact"/>
        <w:ind w:firstLine="640" w:firstLineChars="200"/>
        <w:rPr>
          <w:rFonts w:hint="default" w:ascii="仿宋_GB2312" w:hAnsi="仿宋_GB2312" w:eastAsia="仿宋_GB2312" w:cs="仿宋_GB2312"/>
          <w:b w:val="0"/>
          <w:i w:val="0"/>
          <w:snapToGrid/>
          <w:color w:val="00000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5、制作“福田人力官”证书，并配合采购单位做好颁奖等相关工作。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eastAsia="zh-CN"/>
        </w:rPr>
      </w:pPr>
      <w:r>
        <w:rPr>
          <w:rFonts w:hint="eastAsia" w:ascii="黑体" w:hAnsi="黑体" w:eastAsia="黑体" w:cs="黑体"/>
          <w:b w:val="0"/>
          <w:bCs w:val="0"/>
          <w:i w:val="0"/>
          <w:caps w:val="0"/>
          <w:color w:val="000000"/>
          <w:spacing w:val="0"/>
          <w:sz w:val="32"/>
          <w:szCs w:val="32"/>
          <w:lang w:val="en-US" w:eastAsia="zh-CN"/>
        </w:rPr>
        <w:t>三</w:t>
      </w:r>
      <w:r>
        <w:rPr>
          <w:rFonts w:hint="eastAsia" w:ascii="黑体" w:hAnsi="黑体" w:eastAsia="黑体" w:cs="黑体"/>
          <w:b w:val="0"/>
          <w:bCs w:val="0"/>
          <w:i w:val="0"/>
          <w:caps w:val="0"/>
          <w:color w:val="000000"/>
          <w:spacing w:val="0"/>
          <w:sz w:val="32"/>
          <w:szCs w:val="32"/>
          <w:lang w:eastAsia="zh-CN"/>
        </w:rPr>
        <w:t>、商务需求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eastAsia="zh-CN"/>
        </w:rPr>
        <w:t>（一）</w:t>
      </w:r>
      <w:r>
        <w:rPr>
          <w:rFonts w:hint="eastAsia" w:ascii="方正楷体_GBK" w:hAnsi="方正楷体_GBK" w:eastAsia="方正楷体_GBK" w:cs="方正楷体_GBK"/>
          <w:b w:val="0"/>
          <w:bCs w:val="0"/>
          <w:i w:val="0"/>
          <w:caps w:val="0"/>
          <w:color w:val="000000"/>
          <w:spacing w:val="0"/>
          <w:sz w:val="32"/>
          <w:szCs w:val="32"/>
        </w:rPr>
        <w:t>服务期限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i w:val="0"/>
          <w:snapToGrid/>
          <w:color w:val="00000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合同生效</w:t>
      </w:r>
      <w:r>
        <w:rPr>
          <w:rFonts w:hint="eastAsia" w:ascii="仿宋_GB2312" w:hAnsi="仿宋_GB2312" w:eastAsia="仿宋_GB2312" w:cs="仿宋_GB2312"/>
          <w:b w:val="0"/>
          <w:bCs w:val="0"/>
          <w:i w:val="0"/>
          <w:caps w:val="0"/>
          <w:color w:val="000000"/>
          <w:spacing w:val="0"/>
          <w:sz w:val="32"/>
          <w:szCs w:val="32"/>
        </w:rPr>
        <w:t>至202</w:t>
      </w:r>
      <w:r>
        <w:rPr>
          <w:rFonts w:hint="eastAsia" w:ascii="仿宋_GB2312" w:hAnsi="仿宋_GB2312" w:eastAsia="仿宋_GB2312" w:cs="仿宋_GB2312"/>
          <w:b w:val="0"/>
          <w:bCs w:val="0"/>
          <w:i w:val="0"/>
          <w:caps w:val="0"/>
          <w:color w:val="000000"/>
          <w:spacing w:val="0"/>
          <w:sz w:val="32"/>
          <w:szCs w:val="32"/>
          <w:lang w:val="en-US" w:eastAsia="zh-CN"/>
        </w:rPr>
        <w:t>4</w:t>
      </w:r>
      <w:r>
        <w:rPr>
          <w:rFonts w:hint="eastAsia" w:ascii="仿宋_GB2312" w:hAnsi="仿宋_GB2312" w:eastAsia="仿宋_GB2312" w:cs="仿宋_GB2312"/>
          <w:b w:val="0"/>
          <w:bCs w:val="0"/>
          <w:i w:val="0"/>
          <w:caps w:val="0"/>
          <w:color w:val="000000"/>
          <w:spacing w:val="0"/>
          <w:sz w:val="32"/>
          <w:szCs w:val="32"/>
        </w:rPr>
        <w:t>年</w:t>
      </w:r>
      <w:r>
        <w:rPr>
          <w:rFonts w:hint="eastAsia" w:ascii="仿宋_GB2312" w:hAnsi="仿宋_GB2312" w:eastAsia="仿宋_GB2312" w:cs="仿宋_GB2312"/>
          <w:b w:val="0"/>
          <w:bCs w:val="0"/>
          <w:i w:val="0"/>
          <w:caps w:val="0"/>
          <w:color w:val="000000"/>
          <w:spacing w:val="0"/>
          <w:sz w:val="32"/>
          <w:szCs w:val="32"/>
          <w:lang w:val="en-US" w:eastAsia="zh-CN"/>
        </w:rPr>
        <w:t>12</w:t>
      </w:r>
      <w:r>
        <w:rPr>
          <w:rFonts w:hint="eastAsia" w:ascii="仿宋_GB2312" w:hAnsi="仿宋_GB2312" w:eastAsia="仿宋_GB2312" w:cs="仿宋_GB2312"/>
          <w:b w:val="0"/>
          <w:bCs w:val="0"/>
          <w:i w:val="0"/>
          <w:caps w:val="0"/>
          <w:color w:val="000000"/>
          <w:spacing w:val="0"/>
          <w:sz w:val="32"/>
          <w:szCs w:val="32"/>
        </w:rPr>
        <w:t>月</w:t>
      </w:r>
      <w:r>
        <w:rPr>
          <w:rFonts w:hint="eastAsia" w:ascii="仿宋_GB2312" w:hAnsi="仿宋_GB2312" w:eastAsia="仿宋_GB2312" w:cs="仿宋_GB2312"/>
          <w:b w:val="0"/>
          <w:bCs w:val="0"/>
          <w:i w:val="0"/>
          <w:caps w:val="0"/>
          <w:color w:val="000000"/>
          <w:spacing w:val="0"/>
          <w:sz w:val="32"/>
          <w:szCs w:val="32"/>
          <w:lang w:val="en-US" w:eastAsia="zh-CN"/>
        </w:rPr>
        <w:t>31</w:t>
      </w:r>
      <w:r>
        <w:rPr>
          <w:rFonts w:hint="eastAsia" w:ascii="仿宋_GB2312" w:hAnsi="仿宋_GB2312" w:eastAsia="仿宋_GB2312" w:cs="仿宋_GB2312"/>
          <w:b w:val="0"/>
          <w:bCs w:val="0"/>
          <w:i w:val="0"/>
          <w:caps w:val="0"/>
          <w:color w:val="000000"/>
          <w:spacing w:val="0"/>
          <w:sz w:val="32"/>
          <w:szCs w:val="32"/>
        </w:rPr>
        <w:t>日</w:t>
      </w:r>
      <w:r>
        <w:rPr>
          <w:rFonts w:hint="eastAsia" w:ascii="仿宋_GB2312" w:hAnsi="仿宋_GB2312" w:eastAsia="仿宋_GB2312" w:cs="仿宋_GB2312"/>
          <w:b w:val="0"/>
          <w:bCs w:val="0"/>
          <w:i w:val="0"/>
          <w:caps w:val="0"/>
          <w:color w:val="000000"/>
          <w:spacing w:val="0"/>
          <w:sz w:val="32"/>
          <w:szCs w:val="32"/>
          <w:lang w:val="en-US" w:eastAsia="zh-CN"/>
        </w:rPr>
        <w:t>。</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lang w:val="en-US" w:eastAsia="zh-CN"/>
        </w:rPr>
      </w:pPr>
      <w:r>
        <w:rPr>
          <w:rFonts w:hint="eastAsia" w:ascii="方正楷体_GBK" w:hAnsi="方正楷体_GBK" w:eastAsia="方正楷体_GBK" w:cs="方正楷体_GBK"/>
          <w:b w:val="0"/>
          <w:bCs w:val="0"/>
          <w:i w:val="0"/>
          <w:caps w:val="0"/>
          <w:color w:val="000000"/>
          <w:spacing w:val="0"/>
          <w:sz w:val="32"/>
          <w:szCs w:val="32"/>
          <w:lang w:val="en-US" w:eastAsia="zh-CN"/>
        </w:rPr>
        <w:t>服务地点</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left"/>
        <w:textAlignment w:val="auto"/>
        <w:rPr>
          <w:rFonts w:hint="default"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深圳市福田区</w:t>
      </w:r>
      <w:r>
        <w:rPr>
          <w:rFonts w:hint="eastAsia" w:ascii="仿宋_GB2312" w:hAnsi="仿宋_GB2312" w:eastAsia="仿宋_GB2312" w:cs="仿宋_GB2312"/>
          <w:sz w:val="32"/>
          <w:szCs w:val="32"/>
          <w:lang w:val="en-US" w:eastAsia="zh-CN"/>
        </w:rPr>
        <w:t>新一代产业园4栋2层</w:t>
      </w:r>
      <w:r>
        <w:rPr>
          <w:rFonts w:hint="eastAsia" w:ascii="仿宋_GB2312" w:hAnsi="仿宋_GB2312" w:eastAsia="仿宋_GB2312" w:cs="仿宋_GB2312"/>
          <w:i w:val="0"/>
          <w:caps w:val="0"/>
          <w:color w:val="000000"/>
          <w:spacing w:val="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val="en-US" w:eastAsia="zh-CN"/>
        </w:rPr>
        <w:t>（三）</w:t>
      </w:r>
      <w:r>
        <w:rPr>
          <w:rFonts w:hint="eastAsia" w:ascii="方正楷体_GBK" w:hAnsi="方正楷体_GBK" w:eastAsia="方正楷体_GBK" w:cs="方正楷体_GBK"/>
          <w:b w:val="0"/>
          <w:bCs w:val="0"/>
          <w:i w:val="0"/>
          <w:caps w:val="0"/>
          <w:color w:val="000000"/>
          <w:spacing w:val="0"/>
          <w:sz w:val="32"/>
          <w:szCs w:val="32"/>
        </w:rPr>
        <w:t>报价要求</w:t>
      </w:r>
    </w:p>
    <w:p>
      <w:pPr>
        <w:keepNext w:val="0"/>
        <w:keepLines w:val="0"/>
        <w:pageBreakBefore w:val="0"/>
        <w:numPr>
          <w:ilvl w:val="0"/>
          <w:numId w:val="0"/>
        </w:numPr>
        <w:kinsoku/>
        <w:wordWrap/>
        <w:overflowPunct/>
        <w:topLinePunct w:val="0"/>
        <w:bidi w:val="0"/>
        <w:snapToGrid w:val="0"/>
        <w:spacing w:line="560" w:lineRule="exact"/>
        <w:ind w:firstLine="640" w:firstLineChars="200"/>
        <w:textAlignment w:val="auto"/>
        <w:rPr>
          <w:rFonts w:hint="eastAsia" w:ascii="仿宋_GB2312" w:hAnsi="Calibri" w:eastAsia="仿宋_GB2312" w:cs="Times New Roman"/>
          <w:b w:val="0"/>
          <w:bCs/>
          <w:color w:val="auto"/>
          <w:sz w:val="32"/>
          <w:szCs w:val="32"/>
        </w:rPr>
      </w:pPr>
      <w:r>
        <w:rPr>
          <w:rFonts w:hint="eastAsia" w:ascii="仿宋_GB2312" w:hAnsi="Calibri" w:eastAsia="仿宋_GB2312" w:cs="Times New Roman"/>
          <w:b w:val="0"/>
          <w:bCs/>
          <w:color w:val="auto"/>
          <w:sz w:val="32"/>
          <w:szCs w:val="32"/>
          <w:lang w:val="en-US" w:eastAsia="zh-CN"/>
        </w:rPr>
        <w:t>1.</w:t>
      </w:r>
      <w:r>
        <w:rPr>
          <w:rFonts w:hint="eastAsia" w:ascii="仿宋_GB2312" w:hAnsi="Calibri" w:eastAsia="仿宋_GB2312" w:cs="Times New Roman"/>
          <w:b w:val="0"/>
          <w:bCs/>
          <w:color w:val="auto"/>
          <w:sz w:val="32"/>
          <w:szCs w:val="32"/>
        </w:rPr>
        <w:t>本项目服务费采用包干制，应包括服务成本、法定税费和企业的利润。由响应人根据采购文件所提供的资料自行测算投标报价；一经中选，报价总价作为</w:t>
      </w:r>
      <w:r>
        <w:rPr>
          <w:rFonts w:hint="eastAsia" w:ascii="仿宋_GB2312" w:hAnsi="Calibri" w:eastAsia="仿宋_GB2312" w:cs="Times New Roman"/>
          <w:b w:val="0"/>
          <w:bCs/>
          <w:color w:val="auto"/>
          <w:sz w:val="32"/>
          <w:szCs w:val="32"/>
          <w:lang w:eastAsia="zh-CN"/>
        </w:rPr>
        <w:t>供应商</w:t>
      </w:r>
      <w:r>
        <w:rPr>
          <w:rFonts w:hint="eastAsia" w:ascii="仿宋_GB2312" w:hAnsi="Calibri" w:eastAsia="仿宋_GB2312" w:cs="Times New Roman"/>
          <w:b w:val="0"/>
          <w:bCs/>
          <w:color w:val="auto"/>
          <w:sz w:val="32"/>
          <w:szCs w:val="32"/>
        </w:rPr>
        <w:t>与采购人签定的合同金额，合同期限内不做调整；</w:t>
      </w:r>
    </w:p>
    <w:p>
      <w:pPr>
        <w:keepNext w:val="0"/>
        <w:keepLines w:val="0"/>
        <w:pageBreakBefore w:val="0"/>
        <w:numPr>
          <w:ilvl w:val="0"/>
          <w:numId w:val="0"/>
        </w:numPr>
        <w:kinsoku/>
        <w:wordWrap/>
        <w:overflowPunct/>
        <w:topLinePunct w:val="0"/>
        <w:bidi w:val="0"/>
        <w:snapToGrid w:val="0"/>
        <w:spacing w:line="560" w:lineRule="exact"/>
        <w:ind w:firstLine="640" w:firstLineChars="200"/>
        <w:textAlignment w:val="auto"/>
        <w:rPr>
          <w:rFonts w:hint="eastAsia" w:ascii="仿宋_GB2312" w:hAnsi="Calibri" w:eastAsia="仿宋_GB2312" w:cs="Times New Roman"/>
          <w:b w:val="0"/>
          <w:bCs/>
          <w:color w:val="auto"/>
          <w:sz w:val="32"/>
          <w:szCs w:val="32"/>
        </w:rPr>
      </w:pPr>
      <w:r>
        <w:rPr>
          <w:rFonts w:hint="eastAsia" w:ascii="仿宋_GB2312" w:hAnsi="Calibri" w:eastAsia="仿宋_GB2312" w:cs="Times New Roman"/>
          <w:b w:val="0"/>
          <w:bCs/>
          <w:color w:val="auto"/>
          <w:sz w:val="32"/>
          <w:szCs w:val="32"/>
          <w:lang w:val="en-US" w:eastAsia="zh-CN"/>
        </w:rPr>
        <w:t>2.</w:t>
      </w:r>
      <w:r>
        <w:rPr>
          <w:rFonts w:hint="eastAsia" w:ascii="仿宋_GB2312" w:hAnsi="Calibri" w:eastAsia="仿宋_GB2312" w:cs="Times New Roman"/>
          <w:b w:val="0"/>
          <w:bCs/>
          <w:color w:val="auto"/>
          <w:sz w:val="32"/>
          <w:szCs w:val="32"/>
        </w:rPr>
        <w:t>响应人应根据本企业的成本自行决定报价，但不得以低于其企业成本的报价投标；</w:t>
      </w:r>
    </w:p>
    <w:p>
      <w:pPr>
        <w:keepNext w:val="0"/>
        <w:keepLines w:val="0"/>
        <w:pageBreakBefore w:val="0"/>
        <w:numPr>
          <w:ilvl w:val="0"/>
          <w:numId w:val="0"/>
        </w:numPr>
        <w:kinsoku/>
        <w:wordWrap/>
        <w:overflowPunct/>
        <w:topLinePunct w:val="0"/>
        <w:bidi w:val="0"/>
        <w:snapToGrid w:val="0"/>
        <w:spacing w:line="560" w:lineRule="exact"/>
        <w:ind w:firstLine="640" w:firstLineChars="200"/>
        <w:textAlignment w:val="auto"/>
        <w:rPr>
          <w:rFonts w:hint="eastAsia" w:ascii="仿宋_GB2312" w:hAnsi="Calibri" w:eastAsia="仿宋_GB2312" w:cs="Times New Roman"/>
          <w:b w:val="0"/>
          <w:bCs/>
          <w:color w:val="auto"/>
          <w:sz w:val="32"/>
          <w:szCs w:val="32"/>
        </w:rPr>
      </w:pPr>
      <w:r>
        <w:rPr>
          <w:rFonts w:hint="eastAsia" w:ascii="仿宋_GB2312" w:hAnsi="Calibri" w:eastAsia="仿宋_GB2312" w:cs="Times New Roman"/>
          <w:b w:val="0"/>
          <w:bCs/>
          <w:color w:val="auto"/>
          <w:sz w:val="32"/>
          <w:szCs w:val="32"/>
          <w:lang w:val="en-US" w:eastAsia="zh-CN"/>
        </w:rPr>
        <w:t>3.</w:t>
      </w:r>
      <w:r>
        <w:rPr>
          <w:rFonts w:hint="eastAsia" w:ascii="仿宋_GB2312" w:hAnsi="Calibri" w:eastAsia="仿宋_GB2312" w:cs="Times New Roman"/>
          <w:b w:val="0"/>
          <w:bCs/>
          <w:color w:val="auto"/>
          <w:sz w:val="32"/>
          <w:szCs w:val="32"/>
        </w:rPr>
        <w:t>响应人的报价不得超过</w:t>
      </w:r>
      <w:r>
        <w:rPr>
          <w:rFonts w:hint="eastAsia" w:ascii="仿宋_GB2312" w:hAnsi="Calibri" w:eastAsia="仿宋_GB2312" w:cs="Times New Roman"/>
          <w:b w:val="0"/>
          <w:bCs/>
          <w:color w:val="auto"/>
          <w:sz w:val="32"/>
          <w:szCs w:val="32"/>
          <w:lang w:eastAsia="zh-CN"/>
        </w:rPr>
        <w:t>项目</w:t>
      </w:r>
      <w:r>
        <w:rPr>
          <w:rFonts w:hint="eastAsia" w:ascii="仿宋_GB2312" w:hAnsi="Calibri" w:eastAsia="仿宋_GB2312" w:cs="Times New Roman"/>
          <w:b w:val="0"/>
          <w:bCs/>
          <w:color w:val="auto"/>
          <w:sz w:val="32"/>
          <w:szCs w:val="32"/>
        </w:rPr>
        <w:t>预算</w:t>
      </w:r>
      <w:r>
        <w:rPr>
          <w:rFonts w:hint="eastAsia" w:ascii="仿宋_GB2312" w:hAnsi="Calibri" w:eastAsia="仿宋_GB2312" w:cs="Times New Roman"/>
          <w:b w:val="0"/>
          <w:bCs/>
          <w:color w:val="auto"/>
          <w:sz w:val="32"/>
          <w:szCs w:val="32"/>
          <w:lang w:eastAsia="zh-CN"/>
        </w:rPr>
        <w:t>金额</w:t>
      </w:r>
      <w:r>
        <w:rPr>
          <w:rFonts w:hint="eastAsia" w:ascii="仿宋_GB2312" w:hAnsi="Calibri" w:eastAsia="仿宋_GB2312" w:cs="Times New Roman"/>
          <w:b w:val="0"/>
          <w:bCs/>
          <w:color w:val="auto"/>
          <w:sz w:val="32"/>
          <w:szCs w:val="32"/>
        </w:rPr>
        <w:t>；</w:t>
      </w:r>
    </w:p>
    <w:p>
      <w:pPr>
        <w:keepNext w:val="0"/>
        <w:keepLines w:val="0"/>
        <w:pageBreakBefore w:val="0"/>
        <w:numPr>
          <w:ilvl w:val="0"/>
          <w:numId w:val="0"/>
        </w:numPr>
        <w:kinsoku/>
        <w:wordWrap/>
        <w:overflowPunct/>
        <w:topLinePunct w:val="0"/>
        <w:bidi w:val="0"/>
        <w:snapToGrid w:val="0"/>
        <w:spacing w:line="560" w:lineRule="exact"/>
        <w:ind w:firstLine="640" w:firstLineChars="200"/>
        <w:textAlignment w:val="auto"/>
        <w:rPr>
          <w:rFonts w:hint="eastAsia" w:ascii="仿宋_GB2312" w:hAnsi="Calibri" w:eastAsia="仿宋_GB2312" w:cs="Times New Roman"/>
          <w:b w:val="0"/>
          <w:bCs/>
          <w:color w:val="auto"/>
          <w:sz w:val="32"/>
          <w:szCs w:val="32"/>
        </w:rPr>
      </w:pPr>
      <w:r>
        <w:rPr>
          <w:rFonts w:hint="eastAsia" w:ascii="仿宋_GB2312" w:hAnsi="Calibri" w:eastAsia="仿宋_GB2312" w:cs="Times New Roman"/>
          <w:b w:val="0"/>
          <w:bCs/>
          <w:color w:val="auto"/>
          <w:sz w:val="32"/>
          <w:szCs w:val="32"/>
          <w:lang w:val="en-US" w:eastAsia="zh-CN"/>
        </w:rPr>
        <w:t>4.</w:t>
      </w:r>
      <w:r>
        <w:rPr>
          <w:rFonts w:hint="eastAsia" w:ascii="仿宋_GB2312" w:hAnsi="Calibri" w:eastAsia="仿宋_GB2312" w:cs="Times New Roman"/>
          <w:b w:val="0"/>
          <w:bCs/>
          <w:color w:val="auto"/>
          <w:sz w:val="32"/>
          <w:szCs w:val="32"/>
        </w:rPr>
        <w:t>响应人的报价，应是本项目采购范围和采购文件及合同条款上所列的各项内容中所述的全部，不得以任何理由予以重复，并以响应人最终提出的综合单价或</w:t>
      </w:r>
      <w:r>
        <w:rPr>
          <w:rFonts w:hint="eastAsia" w:ascii="仿宋_GB2312" w:hAnsi="Calibri" w:eastAsia="仿宋_GB2312" w:cs="Times New Roman"/>
          <w:b w:val="0"/>
          <w:bCs/>
          <w:color w:val="auto"/>
          <w:sz w:val="32"/>
          <w:szCs w:val="32"/>
          <w:lang w:eastAsia="zh-CN"/>
        </w:rPr>
        <w:t>者</w:t>
      </w:r>
      <w:r>
        <w:rPr>
          <w:rFonts w:hint="eastAsia" w:ascii="仿宋_GB2312" w:hAnsi="Calibri" w:eastAsia="仿宋_GB2312" w:cs="Times New Roman"/>
          <w:b w:val="0"/>
          <w:bCs/>
          <w:color w:val="auto"/>
          <w:sz w:val="32"/>
          <w:szCs w:val="32"/>
        </w:rPr>
        <w:t>总价为依据；</w:t>
      </w:r>
    </w:p>
    <w:p>
      <w:pPr>
        <w:keepNext w:val="0"/>
        <w:keepLines w:val="0"/>
        <w:pageBreakBefore w:val="0"/>
        <w:numPr>
          <w:ilvl w:val="0"/>
          <w:numId w:val="0"/>
        </w:numPr>
        <w:kinsoku/>
        <w:wordWrap/>
        <w:overflowPunct/>
        <w:topLinePunct w:val="0"/>
        <w:bidi w:val="0"/>
        <w:snapToGrid w:val="0"/>
        <w:spacing w:line="560" w:lineRule="exact"/>
        <w:ind w:firstLine="640" w:firstLineChars="200"/>
        <w:textAlignment w:val="auto"/>
        <w:rPr>
          <w:rFonts w:hint="eastAsia" w:ascii="仿宋_GB2312" w:hAnsi="Calibri" w:eastAsia="仿宋_GB2312" w:cs="Times New Roman"/>
          <w:b w:val="0"/>
          <w:bCs/>
          <w:color w:val="auto"/>
          <w:sz w:val="32"/>
          <w:szCs w:val="32"/>
        </w:rPr>
      </w:pPr>
      <w:r>
        <w:rPr>
          <w:rFonts w:hint="eastAsia" w:ascii="仿宋_GB2312" w:hAnsi="Calibri" w:eastAsia="仿宋_GB2312" w:cs="Times New Roman"/>
          <w:b w:val="0"/>
          <w:bCs/>
          <w:color w:val="auto"/>
          <w:sz w:val="32"/>
          <w:szCs w:val="32"/>
          <w:lang w:val="en-US" w:eastAsia="zh-CN"/>
        </w:rPr>
        <w:t>5.</w:t>
      </w:r>
      <w:r>
        <w:rPr>
          <w:rFonts w:hint="eastAsia" w:ascii="仿宋_GB2312" w:hAnsi="Calibri" w:eastAsia="仿宋_GB2312" w:cs="Times New Roman"/>
          <w:b w:val="0"/>
          <w:bCs/>
          <w:color w:val="auto"/>
          <w:sz w:val="32"/>
          <w:szCs w:val="32"/>
        </w:rPr>
        <w:t>除非采购人通过修改采购文件予以更正，否则，响应人应毫无例外地按响应文件所列的清单中项目和数量填报综合单价和合价；</w:t>
      </w:r>
    </w:p>
    <w:p>
      <w:pPr>
        <w:keepNext w:val="0"/>
        <w:keepLines w:val="0"/>
        <w:pageBreakBefore w:val="0"/>
        <w:numPr>
          <w:ilvl w:val="0"/>
          <w:numId w:val="0"/>
        </w:numPr>
        <w:kinsoku/>
        <w:wordWrap/>
        <w:overflowPunct/>
        <w:topLinePunct w:val="0"/>
        <w:bidi w:val="0"/>
        <w:snapToGrid w:val="0"/>
        <w:spacing w:line="560" w:lineRule="exact"/>
        <w:ind w:firstLine="640" w:firstLineChars="200"/>
        <w:textAlignment w:val="auto"/>
        <w:rPr>
          <w:rFonts w:hint="eastAsia" w:ascii="仿宋_GB2312" w:hAnsi="Calibri" w:eastAsia="仿宋_GB2312" w:cs="Times New Roman"/>
          <w:b w:val="0"/>
          <w:bCs/>
          <w:color w:val="auto"/>
          <w:sz w:val="32"/>
          <w:szCs w:val="32"/>
        </w:rPr>
      </w:pPr>
      <w:r>
        <w:rPr>
          <w:rFonts w:hint="eastAsia" w:ascii="仿宋_GB2312" w:hAnsi="Calibri" w:eastAsia="仿宋_GB2312" w:cs="Times New Roman"/>
          <w:b w:val="0"/>
          <w:bCs/>
          <w:color w:val="auto"/>
          <w:sz w:val="32"/>
          <w:szCs w:val="32"/>
          <w:lang w:val="en-US" w:eastAsia="zh-CN"/>
        </w:rPr>
        <w:t>6.</w:t>
      </w:r>
      <w:r>
        <w:rPr>
          <w:rFonts w:hint="eastAsia" w:ascii="仿宋_GB2312" w:hAnsi="Calibri" w:eastAsia="仿宋_GB2312" w:cs="Times New Roman"/>
          <w:b w:val="0"/>
          <w:bCs/>
          <w:color w:val="auto"/>
          <w:sz w:val="32"/>
          <w:szCs w:val="32"/>
        </w:rPr>
        <w:t>响应人应先到项目地点踏勘以充分了解项目的位置、情况、道路及任何其它足以影响投标报价的情况，任何因忽视或</w:t>
      </w:r>
      <w:r>
        <w:rPr>
          <w:rFonts w:hint="eastAsia" w:ascii="仿宋_GB2312" w:hAnsi="Calibri" w:eastAsia="仿宋_GB2312" w:cs="Times New Roman"/>
          <w:b w:val="0"/>
          <w:bCs/>
          <w:color w:val="auto"/>
          <w:sz w:val="32"/>
          <w:szCs w:val="32"/>
          <w:lang w:eastAsia="zh-CN"/>
        </w:rPr>
        <w:t>者</w:t>
      </w:r>
      <w:r>
        <w:rPr>
          <w:rFonts w:hint="eastAsia" w:ascii="仿宋_GB2312" w:hAnsi="Calibri" w:eastAsia="仿宋_GB2312" w:cs="Times New Roman"/>
          <w:b w:val="0"/>
          <w:bCs/>
          <w:color w:val="auto"/>
          <w:sz w:val="32"/>
          <w:szCs w:val="32"/>
        </w:rPr>
        <w:t>误解项目情况而导致的索赔或</w:t>
      </w:r>
      <w:r>
        <w:rPr>
          <w:rFonts w:hint="eastAsia" w:ascii="仿宋_GB2312" w:hAnsi="Calibri" w:eastAsia="仿宋_GB2312" w:cs="Times New Roman"/>
          <w:b w:val="0"/>
          <w:bCs/>
          <w:color w:val="auto"/>
          <w:sz w:val="32"/>
          <w:szCs w:val="32"/>
          <w:lang w:eastAsia="zh-CN"/>
        </w:rPr>
        <w:t>者</w:t>
      </w:r>
      <w:r>
        <w:rPr>
          <w:rFonts w:hint="eastAsia" w:ascii="仿宋_GB2312" w:hAnsi="Calibri" w:eastAsia="仿宋_GB2312" w:cs="Times New Roman"/>
          <w:b w:val="0"/>
          <w:bCs/>
          <w:color w:val="auto"/>
          <w:sz w:val="32"/>
          <w:szCs w:val="32"/>
        </w:rPr>
        <w:t>服务期限延长申请将不获批准；</w:t>
      </w:r>
    </w:p>
    <w:p>
      <w:pPr>
        <w:keepNext w:val="0"/>
        <w:keepLines w:val="0"/>
        <w:pageBreakBefore w:val="0"/>
        <w:numPr>
          <w:ilvl w:val="0"/>
          <w:numId w:val="0"/>
        </w:numPr>
        <w:kinsoku/>
        <w:wordWrap/>
        <w:overflowPunct/>
        <w:topLinePunct w:val="0"/>
        <w:bidi w:val="0"/>
        <w:snapToGrid w:val="0"/>
        <w:spacing w:line="560" w:lineRule="exact"/>
        <w:ind w:firstLine="640" w:firstLineChars="200"/>
        <w:textAlignment w:val="auto"/>
        <w:rPr>
          <w:rFonts w:hint="eastAsia" w:ascii="仿宋_GB2312" w:hAnsi="Calibri" w:eastAsia="仿宋_GB2312" w:cs="Times New Roman"/>
          <w:b w:val="0"/>
          <w:bCs/>
          <w:color w:val="auto"/>
          <w:sz w:val="32"/>
          <w:szCs w:val="32"/>
        </w:rPr>
      </w:pPr>
      <w:r>
        <w:rPr>
          <w:rFonts w:hint="eastAsia" w:ascii="仿宋_GB2312" w:hAnsi="Calibri" w:eastAsia="仿宋_GB2312" w:cs="Times New Roman"/>
          <w:b w:val="0"/>
          <w:bCs/>
          <w:color w:val="auto"/>
          <w:sz w:val="32"/>
          <w:szCs w:val="32"/>
          <w:lang w:val="en-US" w:eastAsia="zh-CN"/>
        </w:rPr>
        <w:t>7.</w:t>
      </w:r>
      <w:r>
        <w:rPr>
          <w:rFonts w:hint="eastAsia" w:ascii="仿宋_GB2312" w:hAnsi="Calibri" w:eastAsia="仿宋_GB2312" w:cs="Times New Roman"/>
          <w:b w:val="0"/>
          <w:bCs/>
          <w:color w:val="auto"/>
          <w:sz w:val="32"/>
          <w:szCs w:val="32"/>
        </w:rPr>
        <w:t>响应人</w:t>
      </w:r>
      <w:r>
        <w:rPr>
          <w:rFonts w:hint="eastAsia" w:ascii="仿宋_GB2312" w:hAnsi="Calibri" w:eastAsia="仿宋_GB2312" w:cs="Times New Roman"/>
          <w:b w:val="0"/>
          <w:bCs/>
          <w:color w:val="auto"/>
          <w:sz w:val="32"/>
          <w:szCs w:val="32"/>
          <w:lang w:eastAsia="zh-CN"/>
        </w:rPr>
        <w:t>应根据实际情况响应报价，若</w:t>
      </w:r>
      <w:r>
        <w:rPr>
          <w:rFonts w:hint="eastAsia" w:ascii="仿宋_GB2312" w:hAnsi="Calibri" w:eastAsia="仿宋_GB2312" w:cs="Times New Roman"/>
          <w:b w:val="0"/>
          <w:bCs/>
          <w:color w:val="auto"/>
          <w:sz w:val="32"/>
          <w:szCs w:val="32"/>
        </w:rPr>
        <w:t>通过索赔等方式获取</w:t>
      </w:r>
      <w:r>
        <w:rPr>
          <w:rFonts w:hint="eastAsia" w:ascii="仿宋_GB2312" w:hAnsi="Calibri" w:eastAsia="仿宋_GB2312" w:cs="Times New Roman"/>
          <w:b w:val="0"/>
          <w:bCs/>
          <w:color w:val="auto"/>
          <w:sz w:val="32"/>
          <w:szCs w:val="32"/>
          <w:lang w:eastAsia="zh-CN"/>
        </w:rPr>
        <w:t>报价</w:t>
      </w:r>
      <w:r>
        <w:rPr>
          <w:rFonts w:hint="eastAsia" w:ascii="仿宋_GB2312" w:hAnsi="Calibri" w:eastAsia="仿宋_GB2312" w:cs="Times New Roman"/>
          <w:b w:val="0"/>
          <w:bCs/>
          <w:color w:val="auto"/>
          <w:sz w:val="32"/>
          <w:szCs w:val="32"/>
        </w:rPr>
        <w:t>补偿，除可能遭到拒绝外，还可能将被作为不良行为记录在案，并可能影响其以后参加政府采购的项目投标。各响应人在报价时，应充分考虑报价的风险。</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（四）付款方式</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leftChars="0" w:right="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rPr>
      </w:pPr>
      <w:r>
        <w:rPr>
          <w:rFonts w:hint="eastAsia" w:ascii="仿宋_GB2312" w:hAnsi="仿宋_GB2312" w:eastAsia="仿宋_GB2312" w:cs="仿宋_GB2312"/>
          <w:color w:val="auto"/>
          <w:sz w:val="32"/>
          <w:szCs w:val="32"/>
        </w:rPr>
        <w:t>本项目服务费</w:t>
      </w:r>
      <w:r>
        <w:rPr>
          <w:rFonts w:hint="eastAsia" w:ascii="仿宋_GB2312" w:hAnsi="仿宋_GB2312" w:eastAsia="仿宋_GB2312" w:cs="仿宋_GB2312"/>
          <w:color w:val="auto"/>
          <w:sz w:val="32"/>
          <w:szCs w:val="32"/>
          <w:highlight w:val="none"/>
          <w:lang w:val="en-US" w:eastAsia="zh-CN"/>
        </w:rPr>
        <w:t>按合同约定方式</w:t>
      </w:r>
      <w:r>
        <w:rPr>
          <w:rFonts w:hint="eastAsia" w:ascii="仿宋_GB2312" w:hAnsi="仿宋_GB2312" w:eastAsia="仿宋_GB2312" w:cs="仿宋_GB2312"/>
          <w:color w:val="auto"/>
          <w:sz w:val="32"/>
          <w:szCs w:val="32"/>
          <w:lang w:val="en-US" w:eastAsia="zh-CN"/>
        </w:rPr>
        <w:t>支付服务费用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服务期满</w:t>
      </w:r>
      <w:r>
        <w:rPr>
          <w:rFonts w:hint="eastAsia" w:ascii="仿宋_GB2312" w:hAnsi="仿宋_GB2312" w:eastAsia="仿宋_GB2312" w:cs="仿宋_GB2312"/>
          <w:color w:val="auto"/>
          <w:sz w:val="32"/>
          <w:szCs w:val="32"/>
          <w:lang w:eastAsia="zh-CN"/>
        </w:rPr>
        <w:t>结算，</w:t>
      </w:r>
      <w:r>
        <w:rPr>
          <w:rFonts w:hint="eastAsia" w:ascii="仿宋_GB2312" w:hAnsi="仿宋_GB2312" w:eastAsia="仿宋_GB2312" w:cs="仿宋_GB2312"/>
          <w:color w:val="auto"/>
          <w:sz w:val="32"/>
          <w:szCs w:val="32"/>
          <w:lang w:val="en-US" w:eastAsia="zh-CN"/>
        </w:rPr>
        <w:t>专家评审人员须定期驻点我单位办公，</w:t>
      </w:r>
      <w:r>
        <w:rPr>
          <w:rFonts w:hint="eastAsia" w:ascii="仿宋_GB2312" w:hAnsi="仿宋_GB2312" w:eastAsia="仿宋_GB2312" w:cs="仿宋_GB2312"/>
          <w:color w:val="auto"/>
          <w:sz w:val="32"/>
          <w:szCs w:val="32"/>
        </w:rPr>
        <w:t>一经中选,作为中选单位与采购</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签定的合同</w:t>
      </w:r>
      <w:r>
        <w:rPr>
          <w:rFonts w:hint="eastAsia" w:ascii="仿宋_GB2312" w:hAnsi="仿宋_GB2312" w:eastAsia="仿宋_GB2312" w:cs="仿宋_GB2312"/>
          <w:color w:val="auto"/>
          <w:sz w:val="32"/>
          <w:szCs w:val="32"/>
          <w:lang w:eastAsia="zh-CN"/>
        </w:rPr>
        <w:t>条款</w:t>
      </w:r>
      <w:r>
        <w:rPr>
          <w:rFonts w:hint="eastAsia" w:ascii="仿宋_GB2312" w:hAnsi="仿宋_GB2312" w:eastAsia="仿宋_GB2312" w:cs="仿宋_GB2312"/>
          <w:color w:val="auto"/>
          <w:sz w:val="32"/>
          <w:szCs w:val="32"/>
        </w:rPr>
        <w:t>金额,合同期限内不做调整</w:t>
      </w:r>
      <w:r>
        <w:rPr>
          <w:rFonts w:hint="eastAsia" w:ascii="仿宋_GB2312" w:hAnsi="仿宋_GB2312" w:eastAsia="仿宋_GB2312" w:cs="仿宋_GB2312"/>
          <w:color w:val="auto"/>
          <w:sz w:val="32"/>
          <w:szCs w:val="32"/>
          <w:lang w:eastAsia="zh-CN"/>
        </w:rPr>
        <w:t>。</w:t>
      </w:r>
    </w:p>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left="1289" w:leftChars="309" w:right="0" w:hanging="640" w:hangingChars="20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验收方式</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default" w:ascii="方正楷体_GBK" w:hAnsi="方正楷体_GBK" w:eastAsia="方正楷体_GBK" w:cs="方正楷体_GBK"/>
          <w:color w:val="auto"/>
          <w:sz w:val="32"/>
          <w:szCs w:val="32"/>
          <w:lang w:val="en-US" w:eastAsia="zh-CN"/>
        </w:rPr>
      </w:pPr>
      <w:r>
        <w:rPr>
          <w:rFonts w:hint="eastAsia" w:ascii="仿宋_GB2312" w:eastAsia="仿宋_GB2312"/>
          <w:b w:val="0"/>
          <w:bCs/>
          <w:color w:val="auto"/>
          <w:sz w:val="32"/>
          <w:szCs w:val="32"/>
        </w:rPr>
        <w:t>项目服务期到期后，</w:t>
      </w:r>
      <w:r>
        <w:rPr>
          <w:rFonts w:hint="eastAsia" w:ascii="仿宋_GB2312" w:eastAsia="仿宋_GB2312"/>
          <w:b w:val="0"/>
          <w:bCs/>
          <w:color w:val="auto"/>
          <w:sz w:val="32"/>
          <w:szCs w:val="32"/>
          <w:lang w:eastAsia="zh-CN"/>
        </w:rPr>
        <w:t>根据本单位采购工作制度及</w:t>
      </w:r>
      <w:r>
        <w:rPr>
          <w:rFonts w:hint="eastAsia" w:ascii="仿宋_GB2312" w:eastAsia="仿宋_GB2312"/>
          <w:b w:val="0"/>
          <w:bCs/>
          <w:color w:val="auto"/>
          <w:sz w:val="32"/>
          <w:szCs w:val="32"/>
        </w:rPr>
        <w:t>按照合同约定的服务内容对</w:t>
      </w:r>
      <w:r>
        <w:rPr>
          <w:rFonts w:hint="eastAsia" w:ascii="仿宋_GB2312" w:eastAsia="仿宋_GB2312"/>
          <w:b w:val="0"/>
          <w:bCs/>
          <w:color w:val="auto"/>
          <w:sz w:val="32"/>
          <w:szCs w:val="32"/>
          <w:lang w:eastAsia="zh-CN"/>
        </w:rPr>
        <w:t>供应商</w:t>
      </w:r>
      <w:r>
        <w:rPr>
          <w:rFonts w:hint="eastAsia" w:ascii="仿宋_GB2312" w:eastAsia="仿宋_GB2312"/>
          <w:b w:val="0"/>
          <w:bCs/>
          <w:color w:val="auto"/>
          <w:sz w:val="32"/>
          <w:szCs w:val="32"/>
        </w:rPr>
        <w:t>的服务进行逐项验收。项目验收后，双方共同签署验收报告，验收报告内容包括</w:t>
      </w:r>
      <w:r>
        <w:rPr>
          <w:rFonts w:hint="eastAsia" w:ascii="仿宋_GB2312" w:eastAsia="仿宋_GB2312"/>
          <w:b w:val="0"/>
          <w:bCs/>
          <w:color w:val="auto"/>
          <w:sz w:val="32"/>
          <w:szCs w:val="32"/>
          <w:lang w:val="en-US" w:eastAsia="zh-CN"/>
        </w:rPr>
        <w:t>评选服务</w:t>
      </w:r>
      <w:r>
        <w:rPr>
          <w:rFonts w:hint="eastAsia" w:ascii="仿宋_GB2312" w:eastAsia="仿宋_GB2312"/>
          <w:b w:val="0"/>
          <w:bCs/>
          <w:color w:val="auto"/>
          <w:sz w:val="32"/>
          <w:szCs w:val="32"/>
        </w:rPr>
        <w:t>项目</w:t>
      </w:r>
      <w:r>
        <w:rPr>
          <w:rFonts w:hint="eastAsia" w:ascii="仿宋_GB2312" w:eastAsia="仿宋_GB2312"/>
          <w:b w:val="0"/>
          <w:bCs/>
          <w:color w:val="auto"/>
          <w:sz w:val="32"/>
          <w:szCs w:val="32"/>
          <w:lang w:val="en-US" w:eastAsia="zh-CN"/>
        </w:rPr>
        <w:t>前期、中期、后期</w:t>
      </w:r>
      <w:r>
        <w:rPr>
          <w:rFonts w:hint="eastAsia" w:ascii="仿宋_GB2312" w:eastAsia="仿宋_GB2312"/>
          <w:b w:val="0"/>
          <w:bCs/>
          <w:color w:val="auto"/>
          <w:sz w:val="32"/>
          <w:szCs w:val="32"/>
        </w:rPr>
        <w:t>评价</w:t>
      </w:r>
      <w:r>
        <w:rPr>
          <w:rFonts w:hint="eastAsia" w:ascii="仿宋_GB2312" w:eastAsia="仿宋_GB2312"/>
          <w:b w:val="0"/>
          <w:bCs/>
          <w:color w:val="auto"/>
          <w:sz w:val="32"/>
          <w:szCs w:val="32"/>
          <w:lang w:val="en-US" w:eastAsia="zh-CN"/>
        </w:rPr>
        <w:t>及总体评价</w:t>
      </w:r>
      <w:r>
        <w:rPr>
          <w:rFonts w:hint="eastAsia" w:ascii="仿宋_GB2312" w:eastAsia="仿宋_GB2312"/>
          <w:b w:val="0"/>
          <w:bCs/>
          <w:color w:val="auto"/>
          <w:sz w:val="32"/>
          <w:szCs w:val="32"/>
        </w:rPr>
        <w:t>，验收报告将作为服务费支付的重要依据。</w:t>
      </w:r>
    </w:p>
    <w:p>
      <w:pPr>
        <w:pStyle w:val="4"/>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eastAsia="zh-CN"/>
        </w:rPr>
      </w:pPr>
      <w:r>
        <w:rPr>
          <w:rFonts w:hint="eastAsia" w:ascii="方正楷体_GBK" w:hAnsi="方正楷体_GBK" w:eastAsia="方正楷体_GBK" w:cs="方正楷体_GBK"/>
          <w:b w:val="0"/>
          <w:bCs/>
          <w:color w:val="auto"/>
          <w:sz w:val="32"/>
          <w:szCs w:val="32"/>
          <w:lang w:eastAsia="zh-CN"/>
        </w:rPr>
        <w:t>违约责任</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按合同约定。</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（七）其他要求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both"/>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sz w:val="32"/>
          <w:szCs w:val="32"/>
          <w:lang w:val="en-US" w:eastAsia="zh-CN"/>
        </w:rPr>
        <w:t xml:space="preserve">     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right"/>
        <w:textAlignment w:val="auto"/>
        <w:rPr>
          <w:rFonts w:hint="eastAsia" w:ascii="仿宋_GB2312" w:hAnsi="仿宋_GB2312" w:eastAsia="仿宋_GB2312" w:cs="仿宋_GB2312"/>
          <w:b w:val="0"/>
          <w:bCs w:val="0"/>
          <w:i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right"/>
        <w:textAlignment w:val="auto"/>
        <w:rPr>
          <w:rFonts w:hint="eastAsia" w:ascii="仿宋_GB2312" w:hAnsi="仿宋_GB2312" w:eastAsia="仿宋_GB2312" w:cs="仿宋_GB2312"/>
          <w:b w:val="0"/>
          <w:bCs w:val="0"/>
          <w:i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righ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sz w:val="32"/>
          <w:szCs w:val="32"/>
        </w:rPr>
        <w:t>福田区人力资源</w:t>
      </w:r>
      <w:r>
        <w:rPr>
          <w:rFonts w:hint="eastAsia" w:ascii="仿宋_GB2312" w:hAnsi="仿宋_GB2312" w:eastAsia="仿宋_GB2312" w:cs="仿宋_GB2312"/>
          <w:b w:val="0"/>
          <w:bCs w:val="0"/>
          <w:i w:val="0"/>
          <w:caps w:val="0"/>
          <w:color w:val="000000"/>
          <w:spacing w:val="0"/>
          <w:sz w:val="32"/>
          <w:szCs w:val="32"/>
          <w:lang w:val="en-US" w:eastAsia="zh-CN"/>
        </w:rPr>
        <w:t>综合事务</w:t>
      </w:r>
      <w:r>
        <w:rPr>
          <w:rFonts w:hint="eastAsia" w:ascii="仿宋_GB2312" w:hAnsi="仿宋_GB2312" w:eastAsia="仿宋_GB2312" w:cs="仿宋_GB2312"/>
          <w:b w:val="0"/>
          <w:bCs w:val="0"/>
          <w:i w:val="0"/>
          <w:caps w:val="0"/>
          <w:color w:val="000000"/>
          <w:spacing w:val="0"/>
          <w:sz w:val="32"/>
          <w:szCs w:val="32"/>
        </w:rPr>
        <w:t>中心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pPr>
      <w:r>
        <w:rPr>
          <w:rFonts w:hint="eastAsia" w:ascii="仿宋_GB2312" w:hAnsi="仿宋_GB2312" w:eastAsia="仿宋_GB2312" w:cs="仿宋_GB2312"/>
          <w:b w:val="0"/>
          <w:bCs w:val="0"/>
          <w:i w:val="0"/>
          <w:caps w:val="0"/>
          <w:color w:val="000000"/>
          <w:spacing w:val="0"/>
          <w:sz w:val="32"/>
          <w:szCs w:val="32"/>
          <w:lang w:val="en-US" w:eastAsia="zh-CN"/>
        </w:rPr>
        <w:t xml:space="preserve">                            2024年5月21日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D16AA"/>
    <w:multiLevelType w:val="singleLevel"/>
    <w:tmpl w:val="8B7D16AA"/>
    <w:lvl w:ilvl="0" w:tentative="0">
      <w:start w:val="6"/>
      <w:numFmt w:val="chineseCounting"/>
      <w:suff w:val="nothing"/>
      <w:lvlText w:val="（%1）"/>
      <w:lvlJc w:val="left"/>
      <w:rPr>
        <w:rFonts w:hint="eastAsia"/>
      </w:rPr>
    </w:lvl>
  </w:abstractNum>
  <w:abstractNum w:abstractNumId="1">
    <w:nsid w:val="ADA1D712"/>
    <w:multiLevelType w:val="singleLevel"/>
    <w:tmpl w:val="ADA1D712"/>
    <w:lvl w:ilvl="0" w:tentative="0">
      <w:start w:val="5"/>
      <w:numFmt w:val="chineseCounting"/>
      <w:suff w:val="nothing"/>
      <w:lvlText w:val="（%1）"/>
      <w:lvlJc w:val="left"/>
      <w:rPr>
        <w:rFonts w:hint="eastAsia"/>
      </w:rPr>
    </w:lvl>
  </w:abstractNum>
  <w:abstractNum w:abstractNumId="2">
    <w:nsid w:val="5821FEAB"/>
    <w:multiLevelType w:val="singleLevel"/>
    <w:tmpl w:val="5821FEAB"/>
    <w:lvl w:ilvl="0" w:tentative="0">
      <w:start w:val="1"/>
      <w:numFmt w:val="chineseCounting"/>
      <w:suff w:val="nothing"/>
      <w:lvlText w:val="%1、"/>
      <w:lvlJc w:val="left"/>
      <w:rPr>
        <w:rFonts w:hint="eastAsia"/>
      </w:rPr>
    </w:lvl>
  </w:abstractNum>
  <w:abstractNum w:abstractNumId="3">
    <w:nsid w:val="5F7F2286"/>
    <w:multiLevelType w:val="singleLevel"/>
    <w:tmpl w:val="5F7F2286"/>
    <w:lvl w:ilvl="0" w:tentative="0">
      <w:start w:val="2"/>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35CC"/>
    <w:rsid w:val="00AE2D39"/>
    <w:rsid w:val="00DE29F2"/>
    <w:rsid w:val="015928B6"/>
    <w:rsid w:val="015D2F86"/>
    <w:rsid w:val="01850CBC"/>
    <w:rsid w:val="0225600D"/>
    <w:rsid w:val="026C00D2"/>
    <w:rsid w:val="02CD5948"/>
    <w:rsid w:val="02E0586A"/>
    <w:rsid w:val="03316615"/>
    <w:rsid w:val="040E6F04"/>
    <w:rsid w:val="04561A95"/>
    <w:rsid w:val="045B4ACE"/>
    <w:rsid w:val="049F687A"/>
    <w:rsid w:val="04A1798B"/>
    <w:rsid w:val="04CB3E55"/>
    <w:rsid w:val="04E20AB8"/>
    <w:rsid w:val="064424FD"/>
    <w:rsid w:val="0677053B"/>
    <w:rsid w:val="069A60B5"/>
    <w:rsid w:val="07086242"/>
    <w:rsid w:val="070E313E"/>
    <w:rsid w:val="07393E15"/>
    <w:rsid w:val="07776CCA"/>
    <w:rsid w:val="07EF0823"/>
    <w:rsid w:val="08625B52"/>
    <w:rsid w:val="08710304"/>
    <w:rsid w:val="0923679C"/>
    <w:rsid w:val="097656D1"/>
    <w:rsid w:val="0A8B3EAB"/>
    <w:rsid w:val="0A994110"/>
    <w:rsid w:val="0AA862BE"/>
    <w:rsid w:val="0ACC13CD"/>
    <w:rsid w:val="0BD104DC"/>
    <w:rsid w:val="0C0976C1"/>
    <w:rsid w:val="0C5047EE"/>
    <w:rsid w:val="0C772F7F"/>
    <w:rsid w:val="0C9C20F3"/>
    <w:rsid w:val="0CBD5E72"/>
    <w:rsid w:val="0CD64DF4"/>
    <w:rsid w:val="0F1D6030"/>
    <w:rsid w:val="0FA90579"/>
    <w:rsid w:val="0FB833D0"/>
    <w:rsid w:val="102F247B"/>
    <w:rsid w:val="10E82C2C"/>
    <w:rsid w:val="10E9721A"/>
    <w:rsid w:val="10F42CA0"/>
    <w:rsid w:val="11746C5A"/>
    <w:rsid w:val="11D36D5A"/>
    <w:rsid w:val="12116A59"/>
    <w:rsid w:val="12E67D42"/>
    <w:rsid w:val="132E0129"/>
    <w:rsid w:val="13A01AB6"/>
    <w:rsid w:val="13BD01B1"/>
    <w:rsid w:val="13DC40EB"/>
    <w:rsid w:val="13DE58AF"/>
    <w:rsid w:val="14224F13"/>
    <w:rsid w:val="14390FC1"/>
    <w:rsid w:val="14E91FD2"/>
    <w:rsid w:val="153D069E"/>
    <w:rsid w:val="157C5293"/>
    <w:rsid w:val="157E7189"/>
    <w:rsid w:val="15D72862"/>
    <w:rsid w:val="1650051A"/>
    <w:rsid w:val="1763586C"/>
    <w:rsid w:val="177E634B"/>
    <w:rsid w:val="178B71F0"/>
    <w:rsid w:val="17914563"/>
    <w:rsid w:val="17E9301A"/>
    <w:rsid w:val="17FF220C"/>
    <w:rsid w:val="199C047C"/>
    <w:rsid w:val="19C930E2"/>
    <w:rsid w:val="1A203115"/>
    <w:rsid w:val="1ADD5DD7"/>
    <w:rsid w:val="1B9907D4"/>
    <w:rsid w:val="1C381832"/>
    <w:rsid w:val="1C8000BC"/>
    <w:rsid w:val="1CED54CE"/>
    <w:rsid w:val="1DCA4DA7"/>
    <w:rsid w:val="1E57684E"/>
    <w:rsid w:val="1E997593"/>
    <w:rsid w:val="1EF9A188"/>
    <w:rsid w:val="20012743"/>
    <w:rsid w:val="20203D53"/>
    <w:rsid w:val="20697A3C"/>
    <w:rsid w:val="21637953"/>
    <w:rsid w:val="21F4393F"/>
    <w:rsid w:val="22887D44"/>
    <w:rsid w:val="22A56445"/>
    <w:rsid w:val="239848D9"/>
    <w:rsid w:val="24783A57"/>
    <w:rsid w:val="24B23891"/>
    <w:rsid w:val="25661450"/>
    <w:rsid w:val="25A05AF1"/>
    <w:rsid w:val="25B90C7C"/>
    <w:rsid w:val="276A2439"/>
    <w:rsid w:val="27C311E5"/>
    <w:rsid w:val="27D968A6"/>
    <w:rsid w:val="29146704"/>
    <w:rsid w:val="29627D0B"/>
    <w:rsid w:val="29A455CA"/>
    <w:rsid w:val="29A63F05"/>
    <w:rsid w:val="29C07716"/>
    <w:rsid w:val="2A5E7CDA"/>
    <w:rsid w:val="2A6C67B2"/>
    <w:rsid w:val="2A765765"/>
    <w:rsid w:val="2B0F454F"/>
    <w:rsid w:val="2B6224AD"/>
    <w:rsid w:val="2B7C4421"/>
    <w:rsid w:val="2DCF66CE"/>
    <w:rsid w:val="2DEA176B"/>
    <w:rsid w:val="2DFF5D97"/>
    <w:rsid w:val="2E171336"/>
    <w:rsid w:val="2E734617"/>
    <w:rsid w:val="2EBD004C"/>
    <w:rsid w:val="2EC17010"/>
    <w:rsid w:val="2EC7666F"/>
    <w:rsid w:val="2F2048B1"/>
    <w:rsid w:val="2F4C700D"/>
    <w:rsid w:val="2FBD4D1E"/>
    <w:rsid w:val="307D2EBD"/>
    <w:rsid w:val="3086149B"/>
    <w:rsid w:val="31321F62"/>
    <w:rsid w:val="31C94E76"/>
    <w:rsid w:val="32F440A4"/>
    <w:rsid w:val="338F34F8"/>
    <w:rsid w:val="33D13151"/>
    <w:rsid w:val="33DC3393"/>
    <w:rsid w:val="343000F8"/>
    <w:rsid w:val="3471583A"/>
    <w:rsid w:val="34E207CA"/>
    <w:rsid w:val="34F915CB"/>
    <w:rsid w:val="35840B34"/>
    <w:rsid w:val="35FC6BC2"/>
    <w:rsid w:val="365A2A6A"/>
    <w:rsid w:val="367F9592"/>
    <w:rsid w:val="36D43DFF"/>
    <w:rsid w:val="3711140C"/>
    <w:rsid w:val="37B04CCA"/>
    <w:rsid w:val="37E072FC"/>
    <w:rsid w:val="38213D5E"/>
    <w:rsid w:val="383A407D"/>
    <w:rsid w:val="3857134C"/>
    <w:rsid w:val="396547E9"/>
    <w:rsid w:val="397877DC"/>
    <w:rsid w:val="397E1DD7"/>
    <w:rsid w:val="39B36B20"/>
    <w:rsid w:val="3A3A181D"/>
    <w:rsid w:val="3A5F1312"/>
    <w:rsid w:val="3A786D3F"/>
    <w:rsid w:val="3B934DA6"/>
    <w:rsid w:val="3BD861B4"/>
    <w:rsid w:val="3BDB76E2"/>
    <w:rsid w:val="3C0440CF"/>
    <w:rsid w:val="3C1670B1"/>
    <w:rsid w:val="3CD40544"/>
    <w:rsid w:val="3CD60612"/>
    <w:rsid w:val="3CF74A34"/>
    <w:rsid w:val="3D323514"/>
    <w:rsid w:val="3D7604D6"/>
    <w:rsid w:val="3D7B53FF"/>
    <w:rsid w:val="3F9A137A"/>
    <w:rsid w:val="3FB90CDB"/>
    <w:rsid w:val="40475A23"/>
    <w:rsid w:val="405C51FA"/>
    <w:rsid w:val="40AD066C"/>
    <w:rsid w:val="40C51D2E"/>
    <w:rsid w:val="41717486"/>
    <w:rsid w:val="42623DB4"/>
    <w:rsid w:val="430A4DC2"/>
    <w:rsid w:val="43750D92"/>
    <w:rsid w:val="43CD69B0"/>
    <w:rsid w:val="46B24D37"/>
    <w:rsid w:val="47106FE8"/>
    <w:rsid w:val="471655A4"/>
    <w:rsid w:val="4751227F"/>
    <w:rsid w:val="478F0B12"/>
    <w:rsid w:val="47D44DF4"/>
    <w:rsid w:val="48A62E03"/>
    <w:rsid w:val="48DF7CFE"/>
    <w:rsid w:val="48FB2803"/>
    <w:rsid w:val="4A8703AE"/>
    <w:rsid w:val="4AF14F7F"/>
    <w:rsid w:val="4B8135C3"/>
    <w:rsid w:val="4BCC21DE"/>
    <w:rsid w:val="4CFC628E"/>
    <w:rsid w:val="4D03026D"/>
    <w:rsid w:val="4D3A612D"/>
    <w:rsid w:val="4DE23FF1"/>
    <w:rsid w:val="4E4062CE"/>
    <w:rsid w:val="4E525F21"/>
    <w:rsid w:val="4E59599C"/>
    <w:rsid w:val="4F3BAA78"/>
    <w:rsid w:val="4FF00A53"/>
    <w:rsid w:val="50055DC1"/>
    <w:rsid w:val="50250DB6"/>
    <w:rsid w:val="5041306C"/>
    <w:rsid w:val="50416D07"/>
    <w:rsid w:val="50514794"/>
    <w:rsid w:val="507C0F59"/>
    <w:rsid w:val="50ED1314"/>
    <w:rsid w:val="511A6B75"/>
    <w:rsid w:val="514D0801"/>
    <w:rsid w:val="51587BB8"/>
    <w:rsid w:val="51764762"/>
    <w:rsid w:val="531F0A6D"/>
    <w:rsid w:val="53275E79"/>
    <w:rsid w:val="546B2EBE"/>
    <w:rsid w:val="54B902E3"/>
    <w:rsid w:val="55C44E12"/>
    <w:rsid w:val="55C667DB"/>
    <w:rsid w:val="55E15C2F"/>
    <w:rsid w:val="5670465C"/>
    <w:rsid w:val="56822056"/>
    <w:rsid w:val="56CE091E"/>
    <w:rsid w:val="576A3917"/>
    <w:rsid w:val="57EF66CF"/>
    <w:rsid w:val="589679B0"/>
    <w:rsid w:val="59045DAE"/>
    <w:rsid w:val="59100DE8"/>
    <w:rsid w:val="59793801"/>
    <w:rsid w:val="598469DF"/>
    <w:rsid w:val="59CD5363"/>
    <w:rsid w:val="5A0F5412"/>
    <w:rsid w:val="5A394EF2"/>
    <w:rsid w:val="5A540ABF"/>
    <w:rsid w:val="5AC911BF"/>
    <w:rsid w:val="5B2E6224"/>
    <w:rsid w:val="5BCF179C"/>
    <w:rsid w:val="5C213BE9"/>
    <w:rsid w:val="5CA96D95"/>
    <w:rsid w:val="5CE94CEC"/>
    <w:rsid w:val="5CEA1DD2"/>
    <w:rsid w:val="5D1E3A1B"/>
    <w:rsid w:val="5DEA50CC"/>
    <w:rsid w:val="5EE445D9"/>
    <w:rsid w:val="5EE5B4F3"/>
    <w:rsid w:val="5F1736F2"/>
    <w:rsid w:val="5F8A60C4"/>
    <w:rsid w:val="5FB330EC"/>
    <w:rsid w:val="5FFAD893"/>
    <w:rsid w:val="611759A9"/>
    <w:rsid w:val="625B0E6A"/>
    <w:rsid w:val="627812D4"/>
    <w:rsid w:val="62E82153"/>
    <w:rsid w:val="63AE58FD"/>
    <w:rsid w:val="63D273A8"/>
    <w:rsid w:val="64271D63"/>
    <w:rsid w:val="645F178D"/>
    <w:rsid w:val="647F1F2B"/>
    <w:rsid w:val="64DA4A37"/>
    <w:rsid w:val="656066B3"/>
    <w:rsid w:val="65C85E36"/>
    <w:rsid w:val="66235870"/>
    <w:rsid w:val="66273837"/>
    <w:rsid w:val="66482425"/>
    <w:rsid w:val="6885645B"/>
    <w:rsid w:val="68904EA7"/>
    <w:rsid w:val="691D3870"/>
    <w:rsid w:val="696628CE"/>
    <w:rsid w:val="6A4D4ADA"/>
    <w:rsid w:val="6A851C67"/>
    <w:rsid w:val="6AF80DF1"/>
    <w:rsid w:val="6B155885"/>
    <w:rsid w:val="6B24618F"/>
    <w:rsid w:val="6B494292"/>
    <w:rsid w:val="6B7172F4"/>
    <w:rsid w:val="6B864430"/>
    <w:rsid w:val="6BE33C8F"/>
    <w:rsid w:val="6C5437B3"/>
    <w:rsid w:val="6CFBA927"/>
    <w:rsid w:val="6E3B2E4F"/>
    <w:rsid w:val="6E901323"/>
    <w:rsid w:val="6EAE7261"/>
    <w:rsid w:val="6EFF5F81"/>
    <w:rsid w:val="6F763B92"/>
    <w:rsid w:val="6F7BC842"/>
    <w:rsid w:val="7111712C"/>
    <w:rsid w:val="725B22AA"/>
    <w:rsid w:val="7260229C"/>
    <w:rsid w:val="729205B9"/>
    <w:rsid w:val="73EE78D6"/>
    <w:rsid w:val="741C1DD4"/>
    <w:rsid w:val="742F5467"/>
    <w:rsid w:val="75612346"/>
    <w:rsid w:val="75AC2A8F"/>
    <w:rsid w:val="75CB6A10"/>
    <w:rsid w:val="761966CD"/>
    <w:rsid w:val="762E0023"/>
    <w:rsid w:val="7640292A"/>
    <w:rsid w:val="76943E2F"/>
    <w:rsid w:val="76FB2B4F"/>
    <w:rsid w:val="777E04C5"/>
    <w:rsid w:val="77BB8473"/>
    <w:rsid w:val="77DD5067"/>
    <w:rsid w:val="7853BA4D"/>
    <w:rsid w:val="78551E5B"/>
    <w:rsid w:val="787D6F96"/>
    <w:rsid w:val="7895130D"/>
    <w:rsid w:val="78AA642F"/>
    <w:rsid w:val="790B4D70"/>
    <w:rsid w:val="792B4D76"/>
    <w:rsid w:val="798640F8"/>
    <w:rsid w:val="79BF6AF4"/>
    <w:rsid w:val="7AF82FB1"/>
    <w:rsid w:val="7AFC248A"/>
    <w:rsid w:val="7B7064FA"/>
    <w:rsid w:val="7BB7FA7D"/>
    <w:rsid w:val="7BFB9E0E"/>
    <w:rsid w:val="7C2D5FF0"/>
    <w:rsid w:val="7CAE86C2"/>
    <w:rsid w:val="7CF64D77"/>
    <w:rsid w:val="7D2C21A7"/>
    <w:rsid w:val="7D3172B9"/>
    <w:rsid w:val="7D5FA216"/>
    <w:rsid w:val="7D817DB9"/>
    <w:rsid w:val="7DFA4B07"/>
    <w:rsid w:val="7E064C5A"/>
    <w:rsid w:val="7E10795E"/>
    <w:rsid w:val="7E825E0A"/>
    <w:rsid w:val="7EF3FCEE"/>
    <w:rsid w:val="7FDEB1C6"/>
    <w:rsid w:val="7FDFE29C"/>
    <w:rsid w:val="8F6FAD67"/>
    <w:rsid w:val="8F7BBEEC"/>
    <w:rsid w:val="9BBBEEFF"/>
    <w:rsid w:val="9D8F55F2"/>
    <w:rsid w:val="BFDB674D"/>
    <w:rsid w:val="BFF20C5B"/>
    <w:rsid w:val="BFF42E27"/>
    <w:rsid w:val="BFFFF073"/>
    <w:rsid w:val="CB1F93A3"/>
    <w:rsid w:val="CBE76337"/>
    <w:rsid w:val="D7EFBD16"/>
    <w:rsid w:val="D7F72708"/>
    <w:rsid w:val="D9C693A6"/>
    <w:rsid w:val="DAEF52B1"/>
    <w:rsid w:val="DFB7FE48"/>
    <w:rsid w:val="DFCE8E84"/>
    <w:rsid w:val="DFFB4438"/>
    <w:rsid w:val="E3FE509B"/>
    <w:rsid w:val="EDFF8DD6"/>
    <w:rsid w:val="F6E734C7"/>
    <w:rsid w:val="F77A78F1"/>
    <w:rsid w:val="FAF7C9AF"/>
    <w:rsid w:val="FDADEDC2"/>
    <w:rsid w:val="FEB84997"/>
    <w:rsid w:val="FEBF3DD7"/>
    <w:rsid w:val="FED77716"/>
    <w:rsid w:val="FF9690BC"/>
    <w:rsid w:val="FFAF74D8"/>
    <w:rsid w:val="FFDB1050"/>
    <w:rsid w:val="FFDFA763"/>
    <w:rsid w:val="FFDFC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2022-04-15T19:08:00Z</dcterms:created>
  <dc:creator>庄雪梅</dc:creator>
  <cp:lastModifiedBy>醉楼</cp:lastModifiedBy>
  <cp:lastPrinted>2024-05-15T02:10:00Z</cp:lastPrinted>
  <dcterms:modified xsi:type="dcterms:W3CDTF">2024-05-21T02:52:31Z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16F3DE00D26445D0BB8F4711202F3A2A</vt:lpwstr>
  </property>
</Properties>
</file>