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fixed"/>
        <w:tblCellMar>
          <w:top w:w="0" w:type="dxa"/>
          <w:left w:w="108" w:type="dxa"/>
          <w:bottom w:w="0" w:type="dxa"/>
          <w:right w:w="108" w:type="dxa"/>
        </w:tblCellMar>
      </w:tblPr>
      <w:tblGrid>
        <w:gridCol w:w="1408"/>
        <w:gridCol w:w="2160"/>
        <w:gridCol w:w="1950"/>
        <w:gridCol w:w="1834"/>
        <w:gridCol w:w="2048"/>
      </w:tblGrid>
      <w:tr>
        <w:tblPrEx>
          <w:tblCellMar>
            <w:top w:w="0" w:type="dxa"/>
            <w:left w:w="108" w:type="dxa"/>
            <w:bottom w:w="0" w:type="dxa"/>
            <w:right w:w="108" w:type="dxa"/>
          </w:tblCellMar>
        </w:tblPrEx>
        <w:trPr>
          <w:trHeight w:val="762" w:hRule="exact"/>
        </w:trPr>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福保街道2024“福阅书香万家行”全民阅读活动项目</w:t>
            </w:r>
            <w:r>
              <w:rPr>
                <w:rFonts w:hint="eastAsia" w:ascii="仿宋_GB2312" w:hAnsi="仿宋_GB2312" w:eastAsia="仿宋_GB2312" w:cs="仿宋_GB2312"/>
                <w:kern w:val="0"/>
                <w:sz w:val="24"/>
              </w:rPr>
              <w:t>　</w:t>
            </w:r>
          </w:p>
        </w:tc>
        <w:tc>
          <w:tcPr>
            <w:tcW w:w="97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08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300000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186"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妇联</w:t>
            </w:r>
          </w:p>
        </w:tc>
        <w:tc>
          <w:tcPr>
            <w:tcW w:w="9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0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谢佳佳</w:t>
            </w:r>
          </w:p>
        </w:tc>
      </w:tr>
      <w:tr>
        <w:tblPrEx>
          <w:tblCellMar>
            <w:top w:w="0" w:type="dxa"/>
            <w:left w:w="108" w:type="dxa"/>
            <w:bottom w:w="0" w:type="dxa"/>
            <w:right w:w="108" w:type="dxa"/>
          </w:tblCellMar>
        </w:tblPrEx>
        <w:trPr>
          <w:trHeight w:val="24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4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1037"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6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□直接确定供应商（特殊）   </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74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深圳这座年轻的城市，在2013年10月被联合国教科文组织特别授予“全球全民阅读典范城市”光荣称号，以表彰深圳坚持不懈推动国际化建设和全球文化交流合作，尤其在推广书籍和阅读方面为全球树立了典范。为持续发扬深圳“全球全民阅读典范城市”的光荣称号，引导和鼓励辖区居民及子女养成多读书、读好书、亲子共读的好习惯，共创好的阅读氛围和美好时光，福保街道民生微实事项目，全力推出——2024福保街道“福阅书香万家行”全民阅读活动，让阅读之光，点亮福保。</w:t>
            </w:r>
          </w:p>
        </w:tc>
      </w:tr>
      <w:tr>
        <w:tblPrEx>
          <w:tblCellMar>
            <w:top w:w="0" w:type="dxa"/>
            <w:left w:w="108" w:type="dxa"/>
            <w:bottom w:w="0" w:type="dxa"/>
            <w:right w:w="108" w:type="dxa"/>
          </w:tblCellMar>
        </w:tblPrEx>
        <w:trPr>
          <w:trHeight w:val="712" w:hRule="atLeast"/>
        </w:trPr>
        <w:tc>
          <w:tcPr>
            <w:tcW w:w="74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项目技术要求：</w:t>
            </w:r>
          </w:p>
          <w:p>
            <w:pPr>
              <w:widowControl/>
              <w:spacing w:line="240"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（一）活动要求：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1.每周五晚7：00-8：30举办阅读活动。每周五执行线下活动，要求标准化的流程，确保场次数量和节奏，保证品牌的持续影响力。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2.i福田阅读专栏。I福田小程序-福宝宝名片-阅读专栏，好书推荐线上共读、讲书；参与共读家庭，互动留言、分享主题活动的三点共读收获。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3.建立各社区福阅书香小站：福保站、新港站、石厦站、明月站 。集合“福阅书香万家行”30场活动、线上好书推荐书籍资源，定点摆放相关书籍供福保街道居民家庭自主阅读，拉长共读时长，影响更多家庭共读好书。</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（二）活动宣传：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1.线下海报宣传：在福保街道各社区宣传活跃气氛，扩大影响力；</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2.线下横幅合影留念：增强参与居民体验度，方便分享朋友圈；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3.网络推广：新闻通稿推送福田区政府相关公众号、i福田小程序；</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4.媒体报道：深圳电视台《壹深圳》、深圳特区报、深圳新闻网等。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（三）活动协调：</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协调和联络原创绘本、儿童文学、童书、文学、育儿、励志作家的资源。可以让作家现场与福保街道读者面对面，分享创作的书籍和幕后的花絮趣事，借力大咖阅读写作的心得技巧，提升阅读理解力等。</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（四）档案整理：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能够配合完成全年活动所需要所有档案。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（五）合同履行期限：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本项目为今年内项目，服务合同按本年度签订（在履约评价、服务验收优良情况下，方可续签）本项目不接受联合体。</w:t>
            </w:r>
          </w:p>
        </w:tc>
      </w:tr>
      <w:tr>
        <w:tblPrEx>
          <w:tblCellMar>
            <w:top w:w="0" w:type="dxa"/>
            <w:left w:w="108" w:type="dxa"/>
            <w:bottom w:w="0" w:type="dxa"/>
            <w:right w:w="108" w:type="dxa"/>
          </w:tblCellMar>
        </w:tblPrEx>
        <w:trPr>
          <w:trHeight w:val="1060" w:hRule="atLeast"/>
        </w:trPr>
        <w:tc>
          <w:tcPr>
            <w:tcW w:w="748"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251" w:type="pct"/>
            <w:gridSpan w:val="4"/>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今年内服务项目</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分期付款：</w:t>
            </w:r>
            <w:r>
              <w:rPr>
                <w:rFonts w:hint="eastAsia" w:ascii="仿宋_GB2312" w:hAnsi="仿宋_GB2312" w:eastAsia="仿宋_GB2312" w:cs="仿宋_GB2312"/>
                <w:kern w:val="0"/>
                <w:sz w:val="24"/>
                <w:lang w:val="en-US" w:eastAsia="zh-CN"/>
              </w:rPr>
              <w:t>2024年12月31日前分批次</w:t>
            </w:r>
            <w:r>
              <w:rPr>
                <w:rFonts w:hint="eastAsia" w:ascii="仿宋_GB2312" w:hAnsi="仿宋_GB2312" w:eastAsia="仿宋_GB2312" w:cs="仿宋_GB2312"/>
                <w:kern w:val="0"/>
                <w:sz w:val="24"/>
                <w:lang w:eastAsia="zh-CN"/>
              </w:rPr>
              <w:t>付清项目款项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报价要求：</w:t>
            </w:r>
            <w:r>
              <w:rPr>
                <w:rFonts w:hint="eastAsia" w:ascii="仿宋_GB2312" w:hAnsi="仿宋_GB2312" w:eastAsia="仿宋_GB2312" w:cs="仿宋_GB2312"/>
                <w:kern w:val="0"/>
                <w:sz w:val="24"/>
                <w:lang w:eastAsia="zh-CN"/>
              </w:rPr>
              <w:t>在预算价格内</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4.违约责任</w:t>
            </w:r>
            <w:r>
              <w:rPr>
                <w:rFonts w:hint="eastAsia" w:ascii="仿宋_GB2312" w:hAnsi="仿宋_GB2312" w:eastAsia="仿宋_GB2312" w:cs="仿宋_GB2312"/>
                <w:kern w:val="0"/>
                <w:sz w:val="24"/>
                <w:lang w:eastAsia="zh-CN"/>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lang w:eastAsia="zh-CN"/>
              </w:rPr>
              <w:t>）委托管理期间，所有委托管理项目如因未执行国家相关政策法规、或因管理不善、服务不规范等原因引发事故、纠纷，或受到主管部门的处罚，由中标单位承担责任。</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lang w:eastAsia="zh-CN"/>
              </w:rPr>
              <w:t>）在合同执行期间，中标单位须接受市、区行业主管部门的监管。合同终止时，中标单位应将各项目条款的工作记录、设施管理使用及检测记录等移交给采购人。</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lang w:eastAsia="zh-CN"/>
              </w:rPr>
              <w:t>）如因中标单位原因，造成不能完成规定管理目标或直接造成采购人经济损失的，中标单位应给予采购人相应补偿。采购人有权要求中标单位限期整改，并有权终止合同。</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）因中标单位管理不善或操作不当等原因对房屋建筑或设施设备等造成重大损害或发生重大事故的，由中标单位承担责任并负责善后处理（产生事故的直接原因，以政府有关部门的鉴定结论为准）。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lang w:eastAsia="zh-CN"/>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解除合同。</w:t>
            </w:r>
          </w:p>
        </w:tc>
      </w:tr>
      <w:tr>
        <w:tblPrEx>
          <w:tblCellMar>
            <w:top w:w="0" w:type="dxa"/>
            <w:left w:w="108" w:type="dxa"/>
            <w:bottom w:w="0" w:type="dxa"/>
            <w:right w:w="108" w:type="dxa"/>
          </w:tblCellMar>
        </w:tblPrEx>
        <w:trPr>
          <w:trHeight w:val="1430" w:hRule="atLeast"/>
        </w:trPr>
        <w:tc>
          <w:tcPr>
            <w:tcW w:w="748"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25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7、可体现投标人综合实力及运营管理能力的其他资料</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7060EE6"/>
    <w:rsid w:val="3F1434CE"/>
    <w:rsid w:val="3FAB8FAF"/>
    <w:rsid w:val="416451E2"/>
    <w:rsid w:val="447E6A90"/>
    <w:rsid w:val="4E144BA8"/>
    <w:rsid w:val="57FFEFC4"/>
    <w:rsid w:val="587C663C"/>
    <w:rsid w:val="5A771A36"/>
    <w:rsid w:val="5C8F69B7"/>
    <w:rsid w:val="5EBA216A"/>
    <w:rsid w:val="60C624B7"/>
    <w:rsid w:val="66AD6A92"/>
    <w:rsid w:val="66C374B6"/>
    <w:rsid w:val="6A1555D3"/>
    <w:rsid w:val="7DF978C0"/>
    <w:rsid w:val="7E97605D"/>
    <w:rsid w:val="7F34677C"/>
    <w:rsid w:val="8DFB255C"/>
    <w:rsid w:val="DD7F4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character" w:customStyle="1" w:styleId="10">
    <w:name w:val="font11"/>
    <w:basedOn w:val="8"/>
    <w:qFormat/>
    <w:uiPriority w:val="0"/>
    <w:rPr>
      <w:rFonts w:hint="eastAsia" w:ascii="仿宋_GB2312" w:eastAsia="仿宋_GB2312" w:cs="仿宋_GB2312"/>
      <w:color w:val="000000"/>
      <w:sz w:val="28"/>
      <w:szCs w:val="28"/>
      <w:u w:val="none"/>
    </w:rPr>
  </w:style>
  <w:style w:type="paragraph" w:customStyle="1" w:styleId="11">
    <w:name w:val="列出段落3"/>
    <w:basedOn w:val="1"/>
    <w:unhideWhenUsed/>
    <w:qFormat/>
    <w:uiPriority w:val="99"/>
    <w:pPr>
      <w:ind w:firstLine="420" w:firstLineChars="200"/>
    </w:pPr>
  </w:style>
  <w:style w:type="paragraph" w:customStyle="1" w:styleId="12">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qFormat/>
    <w:uiPriority w:val="0"/>
    <w:rPr>
      <w:rFonts w:ascii="宋体" w:hAnsi="宋体" w:eastAsia="宋体" w:cs="宋体"/>
      <w:sz w:val="20"/>
      <w:szCs w:val="20"/>
      <w:lang w:val="zh-TW" w:eastAsia="zh-TW" w:bidi="zh-TW"/>
    </w:rPr>
  </w:style>
  <w:style w:type="paragraph" w:customStyle="1" w:styleId="14">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2023-11-02T17:41:00Z</dcterms:created>
  <dc:creator>lulu</dc:creator>
  <cp:lastModifiedBy>xiejiajia</cp:lastModifiedBy>
  <cp:lastPrinted>2024-05-08T12:03:42Z</cp:lastPrinted>
  <dcterms:modified xsi:type="dcterms:W3CDTF">2024-05-08T12:04:46Z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D9BC5A6D050EE1BCC0F83A6681B102D1</vt:lpwstr>
  </property>
</Properties>
</file>