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1408"/>
        <w:gridCol w:w="2160"/>
        <w:gridCol w:w="1950"/>
        <w:gridCol w:w="1834"/>
        <w:gridCol w:w="2048"/>
      </w:tblGrid>
      <w:tr>
        <w:tblPrEx>
          <w:tblCellMar>
            <w:top w:w="0" w:type="dxa"/>
            <w:left w:w="108" w:type="dxa"/>
            <w:bottom w:w="0" w:type="dxa"/>
            <w:right w:w="108" w:type="dxa"/>
          </w:tblCellMar>
        </w:tblPrEx>
        <w:trPr>
          <w:trHeight w:val="762" w:hRule="exact"/>
        </w:trPr>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186"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rPr>
              <w:t>福保街道益田长者服务中心运营服务</w:t>
            </w:r>
            <w:r>
              <w:rPr>
                <w:rFonts w:hint="eastAsia" w:ascii="仿宋_GB2312" w:hAnsi="仿宋_GB2312" w:eastAsia="仿宋_GB2312" w:cs="仿宋_GB2312"/>
                <w:b/>
                <w:bCs/>
                <w:kern w:val="0"/>
                <w:sz w:val="24"/>
                <w:lang w:eastAsia="zh-CN"/>
              </w:rPr>
              <w:t>项目</w:t>
            </w:r>
          </w:p>
        </w:tc>
        <w:tc>
          <w:tcPr>
            <w:tcW w:w="97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08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无</w:t>
            </w:r>
          </w:p>
        </w:tc>
      </w:tr>
      <w:tr>
        <w:tblPrEx>
          <w:tblCellMar>
            <w:top w:w="0" w:type="dxa"/>
            <w:left w:w="108" w:type="dxa"/>
            <w:bottom w:w="0" w:type="dxa"/>
            <w:right w:w="108" w:type="dxa"/>
          </w:tblCellMar>
        </w:tblPrEx>
        <w:trPr>
          <w:trHeight w:val="567" w:hRule="exac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186"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公共服务办公室</w:t>
            </w:r>
            <w:r>
              <w:rPr>
                <w:rFonts w:hint="eastAsia" w:ascii="仿宋_GB2312" w:hAnsi="仿宋_GB2312" w:eastAsia="仿宋_GB2312" w:cs="仿宋_GB2312"/>
                <w:kern w:val="0"/>
                <w:sz w:val="24"/>
              </w:rPr>
              <w:t>　</w:t>
            </w:r>
          </w:p>
        </w:tc>
        <w:tc>
          <w:tcPr>
            <w:tcW w:w="9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0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黄凤茹</w:t>
            </w:r>
          </w:p>
        </w:tc>
      </w:tr>
      <w:tr>
        <w:tblPrEx>
          <w:tblCellMar>
            <w:top w:w="0" w:type="dxa"/>
            <w:left w:w="108" w:type="dxa"/>
            <w:bottom w:w="0" w:type="dxa"/>
            <w:right w:w="108" w:type="dxa"/>
          </w:tblCellMar>
        </w:tblPrEx>
        <w:trPr>
          <w:trHeight w:val="240" w:hRule="atLeas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1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1037"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6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p>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 xml:space="preserve">直接确定供应商（特殊）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251" w:type="pct"/>
            <w:gridSpan w:val="4"/>
            <w:tcBorders>
              <w:top w:val="single" w:color="auto" w:sz="4" w:space="0"/>
              <w:left w:val="nil"/>
              <w:bottom w:val="single" w:color="auto" w:sz="4" w:space="0"/>
              <w:right w:val="single" w:color="auto" w:sz="4" w:space="0"/>
            </w:tcBorders>
          </w:tcPr>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福田区老年人照料机构建设运营管理办法》（福府办规〔2023〕10号），结合福保街道养老服务发展要求，进一步做好益田长者服务中心运营服务，构建普惠型、精准服务型的高质量养老服务体系，持续打造老有颐养民生幸福辖区。</w:t>
            </w:r>
          </w:p>
          <w:p>
            <w:pPr>
              <w:pStyle w:val="2"/>
              <w:rPr>
                <w:rFonts w:hint="eastAsia"/>
                <w:lang w:eastAsia="zh-CN"/>
              </w:rPr>
            </w:pPr>
          </w:p>
        </w:tc>
      </w:tr>
      <w:tr>
        <w:tblPrEx>
          <w:tblCellMar>
            <w:top w:w="0" w:type="dxa"/>
            <w:left w:w="108" w:type="dxa"/>
            <w:bottom w:w="0" w:type="dxa"/>
            <w:right w:w="108" w:type="dxa"/>
          </w:tblCellMar>
        </w:tblPrEx>
        <w:trPr>
          <w:trHeight w:val="712" w:hRule="atLeast"/>
        </w:trPr>
        <w:tc>
          <w:tcPr>
            <w:tcW w:w="74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251" w:type="pct"/>
            <w:gridSpan w:val="4"/>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一、</w:t>
            </w:r>
            <w:r>
              <w:rPr>
                <w:rFonts w:hint="eastAsia" w:ascii="仿宋_GB2312" w:hAnsi="仿宋_GB2312" w:eastAsia="仿宋_GB2312" w:cs="仿宋_GB2312"/>
                <w:kern w:val="0"/>
                <w:sz w:val="24"/>
              </w:rPr>
              <w:t>服务</w:t>
            </w:r>
            <w:r>
              <w:rPr>
                <w:rFonts w:hint="eastAsia" w:ascii="仿宋_GB2312" w:hAnsi="仿宋_GB2312" w:eastAsia="仿宋_GB2312" w:cs="仿宋_GB2312"/>
                <w:kern w:val="0"/>
                <w:sz w:val="24"/>
                <w:lang w:eastAsia="zh-CN"/>
              </w:rPr>
              <w:t>概况</w:t>
            </w:r>
            <w:r>
              <w:rPr>
                <w:rFonts w:hint="eastAsia" w:ascii="仿宋_GB2312" w:hAnsi="仿宋_GB2312" w:eastAsia="仿宋_GB2312" w:cs="仿宋_GB2312"/>
                <w:kern w:val="0"/>
                <w:sz w:val="24"/>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街道为运营机构提供场地，运营机构为老年人提供居住、生活照料、文化娱乐、保健康复等服务，提供全日集中住宿和照料护理服务。遵循以人为本、因地制宜、可持续发展等原则，做好益田长者服务中心建设、运营、管理工作。</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二、服务内容：</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应将不少于全日照料床位总数的15%提供给区民政部门作为政府统筹的政策性养老床位使用,收住对象、入住程序和收费标准按公办养老机构的规定执行。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应按照建筑、消防、食品安全、医疗卫生、特种设备等法律、法规和强制性标准开展服务活动,依法保障收住老年人的人身权、财产权等合法权益。</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应按照国家有关规定建立健全安全、消防、食品、卫生、财务、档案管理等规章制度,制定服务标准和工作流程,并予以公开。</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应配备与服务、运营相适应的工作人员,依法与其签订聘用合同或者劳动合同,定期开展职业道德教育和业务培训。从事医疗、康复、消防等服务的人员应具备相应的职业资格。</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5.应</w:t>
            </w:r>
            <w:r>
              <w:rPr>
                <w:rFonts w:hint="eastAsia" w:ascii="仿宋_GB2312" w:hAnsi="仿宋_GB2312" w:eastAsia="仿宋_GB2312" w:cs="仿宋_GB2312"/>
                <w:sz w:val="24"/>
                <w:szCs w:val="24"/>
              </w:rPr>
              <w:t>合理确定服务项目的收费标准,并遵守政府价格管理有关规定,在醒目位置公示各类服务项目收费标准和收费依据,接受社会监督。</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实行24小时值班制,做好老年人安全保障工作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购买责任保险。</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内设食堂的,应取得食品经营许可证,严格遵守相关法律、法规和食品安全标准,执行原料控制、餐具饮具清洗消毒、食品留样等制度,并依法开展食品安全自查。从供餐单位订餐的,应向具有集体用餐配送资质的食品生产经营单位订购,并按照要求对订购的食品进行查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老应依法履行消防安全职责,落实消防安全工作责任制,配置消防设施、器材并定期检测、维修,开展日常防火巡查、检查,定期组织灭火和应急疏散消防安全培训和演练。</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发现老年人为传染病病人或者疑似传染病病人的,应及时向附近的疾病预防控制机构或者医疗机构报告,配合实施卫生处理、隔离等预防控制措施。应依法制定自然灾害、事故灾难、公共卫生事件、社会安全事件等突发事件应急预案,在场所内配备报警装置和必要的应急救援设备、设施,定期开展突发事件应急演练。突发事件发生后,机构应立即启动应急预案,采取防止危害扩大的必要处置措施,同时根据突发事件应急的职责分工向有关部门报告。</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应建立老年人信息档案,收集和妥善保管服务协议等相关资料。档案的保管期限不少于服务协议期满后五年,不得泄露老年人的个人信息等隐私。</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须加强对政府资助资金的管理,建立独立的财务核算制度,专账管理,专款专用,资助资金必须全部用于该老年人照料机构的建设、运营、服务,不得挤占、挪用。</w:t>
            </w:r>
            <w:r>
              <w:rPr>
                <w:rFonts w:hint="eastAsia" w:ascii="仿宋_GB2312" w:hAnsi="仿宋_GB2312" w:eastAsia="仿宋_GB2312" w:cs="仿宋_GB2312"/>
                <w:sz w:val="24"/>
                <w:szCs w:val="24"/>
                <w:lang w:eastAsia="zh-CN"/>
              </w:rPr>
              <w:t>运营</w:t>
            </w:r>
            <w:r>
              <w:rPr>
                <w:rFonts w:hint="eastAsia" w:ascii="仿宋_GB2312" w:hAnsi="仿宋_GB2312" w:eastAsia="仿宋_GB2312" w:cs="仿宋_GB2312"/>
                <w:sz w:val="24"/>
                <w:szCs w:val="24"/>
              </w:rPr>
              <w:t>机构应每年向</w:t>
            </w:r>
            <w:r>
              <w:rPr>
                <w:rFonts w:hint="eastAsia" w:ascii="仿宋_GB2312" w:hAnsi="仿宋_GB2312" w:eastAsia="仿宋_GB2312" w:cs="仿宋_GB2312"/>
                <w:sz w:val="24"/>
                <w:szCs w:val="24"/>
                <w:lang w:eastAsia="zh-CN"/>
              </w:rPr>
              <w:t>街道</w:t>
            </w:r>
            <w:r>
              <w:rPr>
                <w:rFonts w:hint="eastAsia" w:ascii="仿宋_GB2312" w:hAnsi="仿宋_GB2312" w:eastAsia="仿宋_GB2312" w:cs="仿宋_GB2312"/>
                <w:sz w:val="24"/>
                <w:szCs w:val="24"/>
              </w:rPr>
              <w:t>提供财务报表,并向社会公示。</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运营机构终止或退出服务后应当及时向</w:t>
            </w:r>
            <w:r>
              <w:rPr>
                <w:rFonts w:hint="eastAsia" w:ascii="仿宋_GB2312" w:hAnsi="仿宋_GB2312" w:eastAsia="仿宋_GB2312" w:cs="仿宋_GB2312"/>
                <w:sz w:val="24"/>
                <w:szCs w:val="24"/>
                <w:lang w:eastAsia="zh-CN"/>
              </w:rPr>
              <w:t>街道</w:t>
            </w:r>
            <w:r>
              <w:rPr>
                <w:rFonts w:hint="eastAsia" w:ascii="仿宋_GB2312" w:hAnsi="仿宋_GB2312" w:eastAsia="仿宋_GB2312" w:cs="仿宋_GB2312"/>
                <w:sz w:val="24"/>
                <w:szCs w:val="24"/>
              </w:rPr>
              <w:t>移交返还其占有使用的场地。对因故意或重大过失以及其他可归责于运营机构事由造成财产毁损、灭失的,应当承担赔偿责任。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eastAsia="zh-CN"/>
              </w:rPr>
            </w:pPr>
          </w:p>
        </w:tc>
      </w:tr>
      <w:tr>
        <w:tblPrEx>
          <w:tblCellMar>
            <w:top w:w="0" w:type="dxa"/>
            <w:left w:w="108" w:type="dxa"/>
            <w:bottom w:w="0" w:type="dxa"/>
            <w:right w:w="108" w:type="dxa"/>
          </w:tblCellMar>
        </w:tblPrEx>
        <w:trPr>
          <w:trHeight w:val="1060" w:hRule="atLeast"/>
        </w:trPr>
        <w:tc>
          <w:tcPr>
            <w:tcW w:w="74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251" w:type="pct"/>
            <w:gridSpan w:val="4"/>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自合同</w:t>
            </w:r>
            <w:bookmarkStart w:id="0" w:name="_GoBack"/>
            <w:bookmarkEnd w:id="0"/>
            <w:r>
              <w:rPr>
                <w:rFonts w:hint="eastAsia" w:ascii="仿宋_GB2312" w:hAnsi="仿宋_GB2312" w:eastAsia="仿宋_GB2312" w:cs="仿宋_GB2312"/>
                <w:kern w:val="0"/>
                <w:sz w:val="24"/>
                <w:lang w:val="en-US" w:eastAsia="zh-CN"/>
              </w:rPr>
              <w:t>签订之日起12个月，合同期满后，采购人将视考核情况和双方合作情况，决定是否续约，合同总期限最长不超过3年。</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.违约责任</w:t>
            </w:r>
            <w:r>
              <w:rPr>
                <w:rFonts w:hint="eastAsia" w:ascii="仿宋_GB2312" w:hAnsi="仿宋_GB2312" w:eastAsia="仿宋_GB2312" w:cs="仿宋_GB2312"/>
                <w:kern w:val="0"/>
                <w:sz w:val="24"/>
                <w:lang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）委托管理期间，所有委托管理项目如因未执行国家相关政策法规、或因管理不善、服务不规范等原因引发事故、纠纷，或受到主管部门的处罚，由中标单位承担责任。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）在合同执行期间，中标单位须接受市、区行业主管部门的监管。合同终止时，中标单位应将各项目条款的工作记录、设施管理使用及检测记录等移交给采购人。</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）如因中标单位原因，造成不能完成规定管理目标或直接造成采购人经济损失的，中标单位应给予采购人相应补偿。采购人有权要求中标单位限期整改，并有权终止合同。</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）因中标单位管理不善或操作不当等原因对房屋建筑或设施设备等造成重大损害或发生重大事故的，由中标单位承担责任并负责善后处理（产生事故的直接原因，以政府有关部门的鉴定结论为准）。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lang w:eastAsia="zh-CN"/>
              </w:rPr>
              <w:t>）人员必须按标书方案配置人员到位并符合招标文件要求；设备按标书配置的设备清单入场使用并符合招标文件要求。采购人检查发现人员、设备到位不一致的，按违规处理。采购人可责令中标方限期整改，如中标方一个月内仍未达到要求，则采购人有权解除合同。</w:t>
            </w:r>
          </w:p>
        </w:tc>
      </w:tr>
      <w:tr>
        <w:tblPrEx>
          <w:tblCellMar>
            <w:top w:w="0" w:type="dxa"/>
            <w:left w:w="108" w:type="dxa"/>
            <w:bottom w:w="0" w:type="dxa"/>
            <w:right w:w="108" w:type="dxa"/>
          </w:tblCellMar>
        </w:tblPrEx>
        <w:trPr>
          <w:trHeight w:val="1430" w:hRule="atLeast"/>
        </w:trPr>
        <w:tc>
          <w:tcPr>
            <w:tcW w:w="74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2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2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7、可体现投标人综合实力及运营管理能力的其他资料</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91C13C7"/>
    <w:rsid w:val="0A4669B5"/>
    <w:rsid w:val="11312983"/>
    <w:rsid w:val="14C24AD9"/>
    <w:rsid w:val="172C00A3"/>
    <w:rsid w:val="18B761FE"/>
    <w:rsid w:val="194B399D"/>
    <w:rsid w:val="1AF3636A"/>
    <w:rsid w:val="1CD203FA"/>
    <w:rsid w:val="1D1041D7"/>
    <w:rsid w:val="251026CF"/>
    <w:rsid w:val="2E544988"/>
    <w:rsid w:val="2FBB6ACC"/>
    <w:rsid w:val="304A7E50"/>
    <w:rsid w:val="334D7C7F"/>
    <w:rsid w:val="340E45C5"/>
    <w:rsid w:val="37060EE6"/>
    <w:rsid w:val="3F1434CE"/>
    <w:rsid w:val="416451E2"/>
    <w:rsid w:val="42974B9F"/>
    <w:rsid w:val="447E6A90"/>
    <w:rsid w:val="4E144BA8"/>
    <w:rsid w:val="587C663C"/>
    <w:rsid w:val="5A771A36"/>
    <w:rsid w:val="5C8F69B7"/>
    <w:rsid w:val="5EBA216A"/>
    <w:rsid w:val="60C624B7"/>
    <w:rsid w:val="66AD6A92"/>
    <w:rsid w:val="66C374B6"/>
    <w:rsid w:val="6A1555D3"/>
    <w:rsid w:val="7E97605D"/>
    <w:rsid w:val="7F34677C"/>
    <w:rsid w:val="FFB2BD64"/>
    <w:rsid w:val="FFBF1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next w:val="1"/>
    <w:autoRedefine/>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autoRedefine/>
    <w:qFormat/>
    <w:uiPriority w:val="0"/>
    <w:pPr>
      <w:spacing w:line="560" w:lineRule="exact"/>
      <w:ind w:firstLine="420" w:firstLine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autoRedefine/>
    <w:qFormat/>
    <w:uiPriority w:val="0"/>
    <w:rPr>
      <w:vertAlign w:val="superscript"/>
    </w:rPr>
  </w:style>
  <w:style w:type="character" w:customStyle="1" w:styleId="10">
    <w:name w:val="font11"/>
    <w:basedOn w:val="8"/>
    <w:autoRedefine/>
    <w:qFormat/>
    <w:uiPriority w:val="0"/>
    <w:rPr>
      <w:rFonts w:hint="eastAsia" w:ascii="仿宋_GB2312" w:eastAsia="仿宋_GB2312" w:cs="仿宋_GB2312"/>
      <w:color w:val="000000"/>
      <w:sz w:val="28"/>
      <w:szCs w:val="28"/>
      <w:u w:val="none"/>
    </w:rPr>
  </w:style>
  <w:style w:type="paragraph" w:customStyle="1" w:styleId="11">
    <w:name w:val="列出段落3"/>
    <w:basedOn w:val="1"/>
    <w:autoRedefine/>
    <w:unhideWhenUsed/>
    <w:qFormat/>
    <w:uiPriority w:val="99"/>
    <w:pPr>
      <w:ind w:firstLine="420" w:firstLineChars="200"/>
    </w:pPr>
  </w:style>
  <w:style w:type="paragraph" w:customStyle="1" w:styleId="12">
    <w:name w:val="Heading #1|1"/>
    <w:basedOn w:val="1"/>
    <w:autoRedefine/>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autoRedefine/>
    <w:qFormat/>
    <w:uiPriority w:val="0"/>
    <w:rPr>
      <w:rFonts w:ascii="宋体" w:hAnsi="宋体" w:eastAsia="宋体" w:cs="宋体"/>
      <w:sz w:val="20"/>
      <w:szCs w:val="20"/>
      <w:lang w:val="zh-TW" w:eastAsia="zh-TW" w:bidi="zh-TW"/>
    </w:rPr>
  </w:style>
  <w:style w:type="paragraph" w:customStyle="1" w:styleId="14">
    <w:name w:val="Body text|1"/>
    <w:basedOn w:val="1"/>
    <w:autoRedefine/>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2023-11-02T09:41:00Z</dcterms:created>
  <dc:creator>lulu</dc:creator>
  <cp:lastModifiedBy>lulu</cp:lastModifiedBy>
  <dcterms:modified xsi:type="dcterms:W3CDTF">2024-05-07T02:51:45Z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762DE7F57ADE4F55A489B9F8C934984A_13</vt:lpwstr>
  </property>
</Properties>
</file>