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ageBreakBefore/>
        <w:widowControl/>
        <w:shd w:val="clear" w:color="auto" w:fill="FFFFFF"/>
        <w:spacing w:before="640" w:after="560" w:line="460" w:lineRule="exact"/>
        <w:jc w:val="center"/>
        <w:outlineLvl w:val="0"/>
        <w:rPr>
          <w:rFonts w:ascii="黑体" w:eastAsia="黑体"/>
          <w:kern w:val="0"/>
          <w:sz w:val="32"/>
          <w:szCs w:val="32"/>
        </w:rPr>
      </w:pPr>
      <w:bookmarkStart w:id="0" w:name="_Toc414047898"/>
      <w:bookmarkStart w:id="1" w:name="_Toc413850735"/>
      <w:bookmarkStart w:id="2" w:name="_Toc414613957"/>
      <w:bookmarkStart w:id="3" w:name="_Toc413915541"/>
      <w:bookmarkStart w:id="4" w:name="_Toc414613133"/>
      <w:bookmarkStart w:id="5" w:name="_Toc414034442"/>
      <w:bookmarkStart w:id="6" w:name="_Toc478717668"/>
      <w:bookmarkStart w:id="7" w:name="_Toc478734608"/>
      <w:bookmarkStart w:id="8" w:name="_Toc474331538"/>
      <w:r>
        <w:rPr>
          <w:rFonts w:hint="eastAsia" w:ascii="黑体" w:eastAsia="黑体"/>
          <w:kern w:val="0"/>
          <w:sz w:val="32"/>
          <w:szCs w:val="32"/>
        </w:rPr>
        <w:t>深圳市社会组织评估</w:t>
      </w:r>
      <w:bookmarkEnd w:id="0"/>
      <w:bookmarkEnd w:id="1"/>
      <w:bookmarkEnd w:id="2"/>
      <w:bookmarkEnd w:id="3"/>
      <w:bookmarkEnd w:id="4"/>
      <w:bookmarkEnd w:id="5"/>
      <w:r>
        <w:rPr>
          <w:rFonts w:hint="eastAsia" w:ascii="黑体" w:eastAsia="黑体"/>
          <w:kern w:val="0"/>
          <w:sz w:val="32"/>
          <w:szCs w:val="32"/>
        </w:rPr>
        <w:t>指南</w:t>
      </w:r>
      <w:bookmarkEnd w:id="6"/>
      <w:bookmarkEnd w:id="7"/>
      <w:bookmarkEnd w:id="8"/>
    </w:p>
    <w:p>
      <w:pPr>
        <w:pStyle w:val="157"/>
        <w:widowControl/>
        <w:numPr>
          <w:ilvl w:val="0"/>
          <w:numId w:val="18"/>
        </w:numPr>
        <w:spacing w:beforeLines="100" w:afterLines="100"/>
        <w:ind w:firstLineChars="0"/>
        <w:outlineLvl w:val="1"/>
        <w:rPr>
          <w:rFonts w:ascii="黑体" w:eastAsia="黑体"/>
          <w:kern w:val="0"/>
          <w:szCs w:val="21"/>
        </w:rPr>
      </w:pPr>
      <w:bookmarkStart w:id="9" w:name="_Toc413850675"/>
      <w:bookmarkStart w:id="10" w:name="_Toc413846850"/>
      <w:bookmarkStart w:id="11" w:name="_Toc413769813"/>
      <w:bookmarkStart w:id="12" w:name="_Toc478734609"/>
      <w:bookmarkStart w:id="13" w:name="_Toc413850612"/>
      <w:r>
        <w:rPr>
          <w:rFonts w:hint="eastAsia" w:ascii="黑体" w:eastAsia="黑体"/>
          <w:kern w:val="0"/>
          <w:szCs w:val="21"/>
        </w:rPr>
        <w:t>范围</w:t>
      </w:r>
      <w:bookmarkEnd w:id="9"/>
      <w:bookmarkEnd w:id="10"/>
      <w:bookmarkEnd w:id="11"/>
      <w:bookmarkEnd w:id="12"/>
      <w:bookmarkEnd w:id="13"/>
    </w:p>
    <w:p>
      <w:pPr>
        <w:pStyle w:val="49"/>
        <w:rPr>
          <w:rFonts w:hAnsi="宋体"/>
          <w:szCs w:val="21"/>
        </w:rPr>
      </w:pPr>
      <w:r>
        <w:rPr>
          <w:rFonts w:hint="eastAsia" w:hAnsi="宋体"/>
          <w:szCs w:val="21"/>
        </w:rPr>
        <w:t>本指南规定了社会组织包括社会团体（含行业</w:t>
      </w:r>
      <w:r>
        <w:rPr>
          <w:rFonts w:hAnsi="宋体"/>
          <w:szCs w:val="21"/>
        </w:rPr>
        <w:t>协会</w:t>
      </w:r>
      <w:r>
        <w:rPr>
          <w:rFonts w:hint="eastAsia" w:hAnsi="宋体"/>
          <w:szCs w:val="21"/>
        </w:rPr>
        <w:t>）、社会服务机构、基金会的术语与定义。</w:t>
      </w:r>
    </w:p>
    <w:p>
      <w:pPr>
        <w:pStyle w:val="49"/>
        <w:rPr>
          <w:rFonts w:hAnsi="宋体"/>
          <w:szCs w:val="21"/>
        </w:rPr>
      </w:pPr>
      <w:r>
        <w:rPr>
          <w:rFonts w:hint="eastAsia" w:hAnsi="宋体"/>
          <w:szCs w:val="21"/>
        </w:rPr>
        <w:t>本</w:t>
      </w:r>
      <w:r>
        <w:rPr>
          <w:rFonts w:hAnsi="宋体"/>
          <w:szCs w:val="21"/>
        </w:rPr>
        <w:t>指南</w:t>
      </w:r>
      <w:r>
        <w:rPr>
          <w:rFonts w:hint="eastAsia" w:hAnsi="宋体"/>
          <w:szCs w:val="21"/>
        </w:rPr>
        <w:t>规定了社会组织评估的基本规定</w:t>
      </w:r>
      <w:r>
        <w:rPr>
          <w:rFonts w:hAnsi="宋体"/>
          <w:szCs w:val="21"/>
        </w:rPr>
        <w:t>，</w:t>
      </w:r>
      <w:r>
        <w:rPr>
          <w:rFonts w:hint="eastAsia" w:hAnsi="宋体"/>
          <w:szCs w:val="21"/>
        </w:rPr>
        <w:t>社会组织评估中依法登记和</w:t>
      </w:r>
      <w:r>
        <w:rPr>
          <w:rFonts w:hAnsi="宋体"/>
          <w:szCs w:val="21"/>
        </w:rPr>
        <w:t>接</w:t>
      </w:r>
      <w:r>
        <w:rPr>
          <w:rFonts w:hint="eastAsia" w:hAnsi="宋体"/>
          <w:szCs w:val="21"/>
        </w:rPr>
        <w:t>受</w:t>
      </w:r>
      <w:r>
        <w:rPr>
          <w:rFonts w:hAnsi="宋体"/>
          <w:szCs w:val="21"/>
        </w:rPr>
        <w:t>监督、内部治理规范、</w:t>
      </w:r>
      <w:r>
        <w:rPr>
          <w:rFonts w:hint="eastAsia" w:hAnsi="宋体"/>
          <w:szCs w:val="21"/>
        </w:rPr>
        <w:t>业务</w:t>
      </w:r>
      <w:r>
        <w:rPr>
          <w:rFonts w:hAnsi="宋体"/>
          <w:szCs w:val="21"/>
        </w:rPr>
        <w:t>活动规范、财务管理规范、信息公开规范的</w:t>
      </w:r>
      <w:r>
        <w:rPr>
          <w:rFonts w:hint="eastAsia" w:hAnsi="宋体"/>
          <w:szCs w:val="21"/>
        </w:rPr>
        <w:t>内容</w:t>
      </w:r>
      <w:r>
        <w:rPr>
          <w:rFonts w:hAnsi="宋体"/>
          <w:szCs w:val="21"/>
        </w:rPr>
        <w:t>和要求</w:t>
      </w:r>
      <w:r>
        <w:rPr>
          <w:rFonts w:hint="eastAsia" w:hAnsi="宋体"/>
          <w:szCs w:val="21"/>
        </w:rPr>
        <w:t>。</w:t>
      </w:r>
    </w:p>
    <w:p>
      <w:pPr>
        <w:pStyle w:val="49"/>
        <w:rPr>
          <w:rFonts w:hAnsi="宋体"/>
          <w:szCs w:val="21"/>
        </w:rPr>
      </w:pPr>
      <w:r>
        <w:rPr>
          <w:rFonts w:hint="eastAsia" w:hAnsi="宋体"/>
          <w:szCs w:val="21"/>
        </w:rPr>
        <w:t>本指南</w:t>
      </w:r>
      <w:r>
        <w:rPr>
          <w:rFonts w:hAnsi="宋体"/>
          <w:szCs w:val="21"/>
        </w:rPr>
        <w:t>考虑到</w:t>
      </w:r>
      <w:r>
        <w:rPr>
          <w:rFonts w:hint="eastAsia" w:hAnsi="宋体"/>
          <w:szCs w:val="21"/>
        </w:rPr>
        <w:t>深圳市的行业</w:t>
      </w:r>
      <w:r>
        <w:rPr>
          <w:rFonts w:hAnsi="宋体"/>
          <w:szCs w:val="21"/>
        </w:rPr>
        <w:t>协会</w:t>
      </w:r>
      <w:r>
        <w:rPr>
          <w:rFonts w:hint="eastAsia" w:hAnsi="宋体"/>
          <w:szCs w:val="21"/>
        </w:rPr>
        <w:t>除依据《社会</w:t>
      </w:r>
      <w:r>
        <w:rPr>
          <w:rFonts w:hAnsi="宋体"/>
          <w:szCs w:val="21"/>
        </w:rPr>
        <w:t>团体登记管理条例</w:t>
      </w:r>
      <w:r>
        <w:rPr>
          <w:rFonts w:hint="eastAsia" w:hAnsi="宋体"/>
          <w:szCs w:val="21"/>
        </w:rPr>
        <w:t>》外，</w:t>
      </w:r>
      <w:r>
        <w:rPr>
          <w:rFonts w:hAnsi="宋体"/>
          <w:szCs w:val="21"/>
        </w:rPr>
        <w:t>还依据《</w:t>
      </w:r>
      <w:r>
        <w:rPr>
          <w:rFonts w:hint="eastAsia" w:hAnsi="宋体"/>
          <w:szCs w:val="21"/>
        </w:rPr>
        <w:t>深圳经济</w:t>
      </w:r>
      <w:r>
        <w:rPr>
          <w:rFonts w:hAnsi="宋体"/>
          <w:szCs w:val="21"/>
        </w:rPr>
        <w:t>特区</w:t>
      </w:r>
      <w:r>
        <w:rPr>
          <w:rFonts w:hint="eastAsia" w:hAnsi="宋体"/>
          <w:szCs w:val="21"/>
        </w:rPr>
        <w:t>行业</w:t>
      </w:r>
      <w:r>
        <w:rPr>
          <w:rFonts w:hAnsi="宋体"/>
          <w:szCs w:val="21"/>
        </w:rPr>
        <w:t>协会</w:t>
      </w:r>
      <w:r>
        <w:rPr>
          <w:rFonts w:hint="eastAsia" w:hAnsi="宋体"/>
          <w:szCs w:val="21"/>
        </w:rPr>
        <w:t>条例</w:t>
      </w:r>
      <w:r>
        <w:rPr>
          <w:rFonts w:hAnsi="宋体"/>
          <w:szCs w:val="21"/>
        </w:rPr>
        <w:t>》</w:t>
      </w:r>
      <w:r>
        <w:rPr>
          <w:rFonts w:hint="eastAsia" w:hAnsi="宋体"/>
          <w:szCs w:val="21"/>
        </w:rPr>
        <w:t>针对不同于社会团体的</w:t>
      </w:r>
      <w:r>
        <w:rPr>
          <w:rFonts w:hAnsi="宋体"/>
          <w:szCs w:val="21"/>
        </w:rPr>
        <w:t>行业组织特征进行</w:t>
      </w:r>
      <w:r>
        <w:rPr>
          <w:rFonts w:hint="eastAsia" w:hAnsi="宋体"/>
          <w:szCs w:val="21"/>
        </w:rPr>
        <w:t>规范，特</w:t>
      </w:r>
      <w:r>
        <w:rPr>
          <w:rFonts w:hAnsi="宋体"/>
          <w:szCs w:val="21"/>
        </w:rPr>
        <w:t>将行业协会</w:t>
      </w:r>
      <w:r>
        <w:rPr>
          <w:rFonts w:hint="eastAsia" w:hAnsi="宋体"/>
          <w:szCs w:val="21"/>
        </w:rPr>
        <w:t>作为一种组织</w:t>
      </w:r>
      <w:r>
        <w:rPr>
          <w:rFonts w:hAnsi="宋体"/>
          <w:szCs w:val="21"/>
        </w:rPr>
        <w:t>类型与社会团体、社会服务</w:t>
      </w:r>
      <w:r>
        <w:rPr>
          <w:rFonts w:hint="eastAsia" w:hAnsi="宋体"/>
          <w:szCs w:val="21"/>
        </w:rPr>
        <w:t>机构</w:t>
      </w:r>
      <w:r>
        <w:rPr>
          <w:rFonts w:hAnsi="宋体"/>
          <w:szCs w:val="21"/>
        </w:rPr>
        <w:t>、</w:t>
      </w:r>
      <w:r>
        <w:rPr>
          <w:rFonts w:hint="eastAsia" w:hAnsi="宋体"/>
          <w:szCs w:val="21"/>
        </w:rPr>
        <w:t>基金会并</w:t>
      </w:r>
      <w:r>
        <w:rPr>
          <w:rFonts w:hAnsi="宋体"/>
          <w:szCs w:val="21"/>
        </w:rPr>
        <w:t>列</w:t>
      </w:r>
      <w:r>
        <w:rPr>
          <w:rFonts w:hint="eastAsia" w:hAnsi="宋体"/>
          <w:szCs w:val="21"/>
        </w:rPr>
        <w:t>。</w:t>
      </w:r>
    </w:p>
    <w:p>
      <w:pPr>
        <w:pStyle w:val="49"/>
        <w:rPr>
          <w:rFonts w:hAnsi="宋体"/>
          <w:szCs w:val="21"/>
        </w:rPr>
      </w:pPr>
      <w:r>
        <w:rPr>
          <w:rFonts w:hint="eastAsia" w:hAnsi="宋体"/>
          <w:szCs w:val="21"/>
        </w:rPr>
        <w:t>本指南适用于深圳行政</w:t>
      </w:r>
      <w:r>
        <w:rPr>
          <w:rFonts w:hAnsi="宋体"/>
          <w:szCs w:val="21"/>
        </w:rPr>
        <w:t>辖区</w:t>
      </w:r>
      <w:r>
        <w:rPr>
          <w:rFonts w:hint="eastAsia" w:hAnsi="宋体"/>
          <w:szCs w:val="21"/>
        </w:rPr>
        <w:t>内</w:t>
      </w:r>
      <w:r>
        <w:rPr>
          <w:rFonts w:hAnsi="宋体"/>
          <w:szCs w:val="21"/>
        </w:rPr>
        <w:t>的</w:t>
      </w:r>
      <w:r>
        <w:rPr>
          <w:rFonts w:hint="eastAsia" w:hAnsi="宋体"/>
          <w:szCs w:val="21"/>
        </w:rPr>
        <w:t>不同规模的社会团体、社会服务机构、基金会、行业协会的评估，其自身建设和改进可参照执行。</w:t>
      </w:r>
    </w:p>
    <w:p>
      <w:pPr>
        <w:pStyle w:val="157"/>
        <w:widowControl/>
        <w:numPr>
          <w:ilvl w:val="0"/>
          <w:numId w:val="18"/>
        </w:numPr>
        <w:spacing w:beforeLines="100" w:afterLines="100"/>
        <w:ind w:firstLineChars="0"/>
        <w:outlineLvl w:val="1"/>
        <w:rPr>
          <w:rFonts w:ascii="黑体" w:eastAsia="黑体"/>
          <w:kern w:val="0"/>
          <w:szCs w:val="21"/>
        </w:rPr>
      </w:pPr>
      <w:bookmarkStart w:id="14" w:name="_Toc413850676"/>
      <w:bookmarkStart w:id="15" w:name="_Toc413846851"/>
      <w:bookmarkStart w:id="16" w:name="_Toc413850613"/>
      <w:bookmarkStart w:id="17" w:name="_Toc413769814"/>
      <w:bookmarkStart w:id="18" w:name="_Toc478734610"/>
      <w:r>
        <w:rPr>
          <w:rFonts w:hint="eastAsia" w:ascii="黑体" w:eastAsia="黑体"/>
          <w:kern w:val="0"/>
          <w:szCs w:val="21"/>
        </w:rPr>
        <w:t>规范性引用文件</w:t>
      </w:r>
      <w:bookmarkEnd w:id="14"/>
      <w:bookmarkEnd w:id="15"/>
      <w:bookmarkEnd w:id="16"/>
      <w:bookmarkEnd w:id="17"/>
      <w:bookmarkEnd w:id="18"/>
    </w:p>
    <w:p>
      <w:pPr>
        <w:pStyle w:val="49"/>
        <w:rPr>
          <w:rFonts w:hAnsi="宋体"/>
          <w:szCs w:val="21"/>
        </w:rPr>
      </w:pPr>
      <w:r>
        <w:rPr>
          <w:rFonts w:hint="eastAsia" w:hAnsi="宋体"/>
          <w:szCs w:val="21"/>
        </w:rPr>
        <w:t>下列文件对于本文件的应用是必不可少的。凡是注日期的引用文件，仅所注日期的版本适用于本文件。凡是不注日期的引用文件，其最新版本（包括所有的修改项）适用于本文件。</w:t>
      </w:r>
    </w:p>
    <w:p>
      <w:pPr>
        <w:pStyle w:val="49"/>
        <w:ind w:firstLine="525" w:firstLineChars="250"/>
        <w:rPr>
          <w:rFonts w:hAnsi="宋体"/>
          <w:szCs w:val="21"/>
        </w:rPr>
      </w:pPr>
      <w:r>
        <w:rPr>
          <w:rFonts w:hAnsi="宋体"/>
          <w:szCs w:val="21"/>
        </w:rPr>
        <w:t xml:space="preserve">GB/T 20091-2006 </w:t>
      </w:r>
      <w:r>
        <w:rPr>
          <w:rFonts w:hint="eastAsia" w:hAnsi="宋体"/>
          <w:szCs w:val="21"/>
        </w:rPr>
        <w:t>组织机构类型</w:t>
      </w:r>
    </w:p>
    <w:p>
      <w:pPr>
        <w:pStyle w:val="49"/>
        <w:rPr>
          <w:rFonts w:hAnsi="宋体"/>
          <w:szCs w:val="21"/>
        </w:rPr>
      </w:pPr>
      <w:r>
        <w:rPr>
          <w:rFonts w:hint="eastAsia" w:hAnsi="宋体"/>
          <w:szCs w:val="21"/>
        </w:rPr>
        <w:t>《中华人民共和国民法总则》</w:t>
      </w:r>
    </w:p>
    <w:p>
      <w:pPr>
        <w:pStyle w:val="49"/>
        <w:rPr>
          <w:rFonts w:hAnsi="宋体"/>
          <w:szCs w:val="21"/>
        </w:rPr>
      </w:pPr>
      <w:r>
        <w:rPr>
          <w:rFonts w:hint="eastAsia" w:hAnsi="宋体"/>
          <w:szCs w:val="21"/>
        </w:rPr>
        <w:t>《中华</w:t>
      </w:r>
      <w:r>
        <w:rPr>
          <w:rFonts w:hAnsi="宋体"/>
          <w:szCs w:val="21"/>
        </w:rPr>
        <w:t>人民共和国慈善法</w:t>
      </w:r>
      <w:r>
        <w:rPr>
          <w:rFonts w:hint="eastAsia" w:hAnsi="宋体"/>
          <w:szCs w:val="21"/>
        </w:rPr>
        <w:t>》</w:t>
      </w:r>
    </w:p>
    <w:p>
      <w:pPr>
        <w:pStyle w:val="49"/>
        <w:rPr>
          <w:rFonts w:hAnsi="宋体"/>
          <w:szCs w:val="21"/>
        </w:rPr>
      </w:pPr>
      <w:r>
        <w:rPr>
          <w:rFonts w:hint="eastAsia" w:hAnsi="宋体"/>
          <w:szCs w:val="21"/>
        </w:rPr>
        <w:t>《社会团体登记管理条例》</w:t>
      </w:r>
    </w:p>
    <w:p>
      <w:pPr>
        <w:pStyle w:val="49"/>
        <w:rPr>
          <w:rFonts w:hAnsi="宋体"/>
          <w:szCs w:val="21"/>
        </w:rPr>
      </w:pPr>
      <w:r>
        <w:rPr>
          <w:rFonts w:hint="eastAsia" w:hAnsi="宋体"/>
          <w:szCs w:val="21"/>
        </w:rPr>
        <w:t>《社会服务机构登记管理条例》</w:t>
      </w:r>
    </w:p>
    <w:p>
      <w:pPr>
        <w:pStyle w:val="49"/>
        <w:rPr>
          <w:rFonts w:hAnsi="宋体"/>
          <w:szCs w:val="21"/>
        </w:rPr>
      </w:pPr>
      <w:r>
        <w:rPr>
          <w:rFonts w:hint="eastAsia" w:hAnsi="宋体"/>
          <w:szCs w:val="21"/>
        </w:rPr>
        <w:t>《基金会管理条例》</w:t>
      </w:r>
    </w:p>
    <w:p>
      <w:pPr>
        <w:pStyle w:val="49"/>
        <w:rPr>
          <w:rFonts w:hAnsi="宋体"/>
          <w:szCs w:val="21"/>
        </w:rPr>
      </w:pPr>
      <w:r>
        <w:rPr>
          <w:rFonts w:hint="eastAsia" w:hAnsi="宋体"/>
          <w:szCs w:val="21"/>
        </w:rPr>
        <w:t>《社会组织评估管理办法》</w:t>
      </w:r>
    </w:p>
    <w:p>
      <w:pPr>
        <w:pStyle w:val="49"/>
        <w:rPr>
          <w:rFonts w:hAnsi="宋体"/>
          <w:szCs w:val="21"/>
        </w:rPr>
      </w:pPr>
      <w:r>
        <w:rPr>
          <w:rFonts w:hint="eastAsia" w:hAnsi="宋体"/>
          <w:szCs w:val="21"/>
        </w:rPr>
        <w:t>《深圳经济特区行业协会条例》</w:t>
      </w:r>
    </w:p>
    <w:p>
      <w:pPr>
        <w:pStyle w:val="49"/>
        <w:rPr>
          <w:rFonts w:hAnsi="宋体"/>
          <w:szCs w:val="21"/>
        </w:rPr>
      </w:pPr>
      <w:r>
        <w:rPr>
          <w:rFonts w:hint="eastAsia" w:hAnsi="宋体"/>
          <w:szCs w:val="21"/>
        </w:rPr>
        <w:t>《深圳</w:t>
      </w:r>
      <w:r>
        <w:rPr>
          <w:rFonts w:hAnsi="宋体"/>
          <w:szCs w:val="21"/>
        </w:rPr>
        <w:t>市社会</w:t>
      </w:r>
      <w:r>
        <w:rPr>
          <w:rFonts w:hint="eastAsia" w:hAnsi="宋体"/>
          <w:szCs w:val="21"/>
        </w:rPr>
        <w:t>组织</w:t>
      </w:r>
      <w:r>
        <w:rPr>
          <w:rFonts w:hAnsi="宋体"/>
          <w:szCs w:val="21"/>
        </w:rPr>
        <w:t>评估管理办法</w:t>
      </w:r>
      <w:r>
        <w:rPr>
          <w:rFonts w:hint="eastAsia" w:hAnsi="宋体"/>
          <w:szCs w:val="21"/>
        </w:rPr>
        <w:t>》</w:t>
      </w:r>
    </w:p>
    <w:p>
      <w:pPr>
        <w:pStyle w:val="157"/>
        <w:widowControl/>
        <w:numPr>
          <w:ilvl w:val="0"/>
          <w:numId w:val="18"/>
        </w:numPr>
        <w:spacing w:beforeLines="100" w:afterLines="100"/>
        <w:ind w:firstLineChars="0"/>
        <w:outlineLvl w:val="1"/>
        <w:rPr>
          <w:rFonts w:ascii="黑体" w:eastAsia="黑体"/>
          <w:kern w:val="0"/>
          <w:szCs w:val="21"/>
        </w:rPr>
      </w:pPr>
      <w:bookmarkStart w:id="19" w:name="_Toc413769815"/>
      <w:bookmarkEnd w:id="19"/>
      <w:bookmarkStart w:id="20" w:name="_Toc413846852"/>
      <w:bookmarkStart w:id="21" w:name="_Toc413850614"/>
      <w:bookmarkStart w:id="22" w:name="_Toc478734611"/>
      <w:bookmarkStart w:id="23" w:name="_Toc413850677"/>
      <w:r>
        <w:rPr>
          <w:rFonts w:hint="eastAsia" w:ascii="黑体" w:eastAsia="黑体"/>
          <w:kern w:val="0"/>
          <w:szCs w:val="21"/>
        </w:rPr>
        <w:t>术语与定义</w:t>
      </w:r>
      <w:bookmarkEnd w:id="20"/>
      <w:bookmarkEnd w:id="21"/>
      <w:bookmarkEnd w:id="22"/>
      <w:bookmarkEnd w:id="23"/>
    </w:p>
    <w:p>
      <w:pPr>
        <w:pStyle w:val="49"/>
        <w:rPr>
          <w:rFonts w:hAnsi="宋体"/>
          <w:szCs w:val="21"/>
        </w:rPr>
      </w:pPr>
      <w:r>
        <w:rPr>
          <w:rFonts w:hint="eastAsia" w:hAnsi="宋体"/>
          <w:szCs w:val="21"/>
        </w:rPr>
        <w:t>下列术语和定义适用于本文件。</w:t>
      </w:r>
    </w:p>
    <w:p>
      <w:pPr>
        <w:pStyle w:val="47"/>
        <w:numPr>
          <w:ilvl w:val="0"/>
          <w:numId w:val="0"/>
        </w:numPr>
        <w:spacing w:before="156" w:after="156"/>
      </w:pPr>
      <w:bookmarkStart w:id="24" w:name="_Toc478734612"/>
      <w:r>
        <w:rPr>
          <w:rFonts w:hint="eastAsia"/>
        </w:rPr>
        <w:t>3</w:t>
      </w:r>
      <w:r>
        <w:t>.1</w:t>
      </w:r>
      <w:bookmarkEnd w:id="24"/>
    </w:p>
    <w:p>
      <w:pPr>
        <w:pStyle w:val="47"/>
        <w:numPr>
          <w:ilvl w:val="0"/>
          <w:numId w:val="0"/>
        </w:numPr>
        <w:spacing w:before="156" w:after="156"/>
        <w:ind w:firstLine="420" w:firstLineChars="200"/>
      </w:pPr>
      <w:bookmarkStart w:id="25" w:name="_Toc478734613"/>
      <w:r>
        <w:rPr>
          <w:rFonts w:hint="eastAsia"/>
        </w:rPr>
        <w:t xml:space="preserve">社会组织 </w:t>
      </w:r>
      <w:r>
        <w:t>Social organization</w:t>
      </w:r>
      <w:bookmarkEnd w:id="25"/>
    </w:p>
    <w:p>
      <w:pPr>
        <w:pStyle w:val="49"/>
        <w:ind w:firstLine="525" w:firstLineChars="250"/>
      </w:pPr>
      <w:r>
        <w:rPr>
          <w:rFonts w:hint="eastAsia"/>
        </w:rPr>
        <w:t>经深圳</w:t>
      </w:r>
      <w:r>
        <w:t>市</w:t>
      </w:r>
      <w:r>
        <w:rPr>
          <w:rFonts w:hint="eastAsia"/>
        </w:rPr>
        <w:t>人民政府各级民政部门登记注册或</w:t>
      </w:r>
      <w:r>
        <w:t>备案</w:t>
      </w:r>
      <w:r>
        <w:rPr>
          <w:rFonts w:hint="eastAsia"/>
        </w:rPr>
        <w:t>的社会团体、社会服务机构</w:t>
      </w:r>
      <w:r>
        <w:t>、</w:t>
      </w:r>
      <w:r>
        <w:rPr>
          <w:rFonts w:hint="eastAsia"/>
        </w:rPr>
        <w:t>基金会、</w:t>
      </w:r>
      <w:r>
        <w:t>行业协会</w:t>
      </w:r>
      <w:r>
        <w:rPr>
          <w:rFonts w:hint="eastAsia"/>
        </w:rPr>
        <w:t>。</w:t>
      </w:r>
    </w:p>
    <w:p>
      <w:pPr>
        <w:pStyle w:val="157"/>
        <w:widowControl/>
        <w:spacing w:beforeLines="100" w:afterLines="100"/>
        <w:ind w:firstLine="0" w:firstLineChars="0"/>
        <w:outlineLvl w:val="1"/>
        <w:rPr>
          <w:rFonts w:ascii="黑体" w:eastAsia="黑体"/>
          <w:vanish/>
          <w:kern w:val="0"/>
          <w:szCs w:val="20"/>
        </w:rPr>
      </w:pPr>
      <w:bookmarkStart w:id="26" w:name="_Toc414034446"/>
      <w:bookmarkEnd w:id="26"/>
      <w:bookmarkStart w:id="27" w:name="_Toc414613137"/>
      <w:bookmarkEnd w:id="27"/>
      <w:bookmarkStart w:id="28" w:name="_Toc478734614"/>
      <w:bookmarkEnd w:id="28"/>
      <w:bookmarkStart w:id="29" w:name="_Toc414047902"/>
      <w:bookmarkEnd w:id="29"/>
      <w:bookmarkStart w:id="30" w:name="_Toc474331542"/>
      <w:bookmarkEnd w:id="30"/>
      <w:bookmarkStart w:id="31" w:name="_Toc478717674"/>
      <w:bookmarkEnd w:id="31"/>
      <w:bookmarkStart w:id="32" w:name="_Toc413915545"/>
      <w:bookmarkEnd w:id="32"/>
      <w:bookmarkStart w:id="33" w:name="_Toc414613961"/>
      <w:bookmarkEnd w:id="33"/>
      <w:bookmarkStart w:id="34" w:name="_Toc413850615"/>
      <w:bookmarkStart w:id="35" w:name="_Toc413850739"/>
      <w:bookmarkStart w:id="36" w:name="_Toc413850678"/>
      <w:bookmarkStart w:id="37" w:name="_Toc413846853"/>
      <w:bookmarkStart w:id="38" w:name="_Toc414047903"/>
      <w:bookmarkStart w:id="39" w:name="_Toc414034447"/>
      <w:bookmarkStart w:id="40" w:name="_Toc414613138"/>
      <w:bookmarkStart w:id="41" w:name="_Toc414613962"/>
      <w:bookmarkStart w:id="42" w:name="_Toc413915546"/>
    </w:p>
    <w:p>
      <w:pPr>
        <w:pStyle w:val="157"/>
        <w:widowControl/>
        <w:spacing w:beforeLines="100" w:afterLines="100"/>
        <w:ind w:firstLine="0" w:firstLineChars="0"/>
        <w:outlineLvl w:val="1"/>
        <w:rPr>
          <w:rFonts w:ascii="黑体" w:eastAsia="黑体"/>
          <w:vanish/>
          <w:kern w:val="0"/>
          <w:szCs w:val="20"/>
        </w:rPr>
      </w:pPr>
      <w:bookmarkStart w:id="43" w:name="_Toc478734615"/>
      <w:bookmarkEnd w:id="43"/>
      <w:bookmarkStart w:id="44" w:name="_Toc474331543"/>
      <w:bookmarkEnd w:id="44"/>
      <w:bookmarkStart w:id="45" w:name="_Toc478717675"/>
      <w:bookmarkEnd w:id="45"/>
    </w:p>
    <w:p>
      <w:pPr>
        <w:pStyle w:val="157"/>
        <w:widowControl/>
        <w:spacing w:beforeLines="100" w:afterLines="100"/>
        <w:ind w:firstLine="0" w:firstLineChars="0"/>
        <w:outlineLvl w:val="1"/>
        <w:rPr>
          <w:rFonts w:ascii="黑体" w:eastAsia="黑体"/>
          <w:vanish/>
          <w:kern w:val="0"/>
          <w:szCs w:val="20"/>
        </w:rPr>
      </w:pPr>
      <w:bookmarkStart w:id="46" w:name="_Toc478717676"/>
      <w:bookmarkEnd w:id="46"/>
      <w:bookmarkStart w:id="47" w:name="_Toc478734616"/>
      <w:bookmarkEnd w:id="47"/>
      <w:bookmarkStart w:id="48" w:name="_Toc474331544"/>
      <w:bookmarkEnd w:id="48"/>
    </w:p>
    <w:p>
      <w:pPr>
        <w:pStyle w:val="47"/>
        <w:numPr>
          <w:ilvl w:val="0"/>
          <w:numId w:val="0"/>
        </w:numPr>
        <w:spacing w:before="156" w:after="156"/>
      </w:pPr>
      <w:bookmarkStart w:id="49" w:name="_Toc478734617"/>
      <w:r>
        <w:rPr>
          <w:rFonts w:hint="eastAsia"/>
        </w:rPr>
        <w:t>3</w:t>
      </w:r>
      <w:r>
        <w:t>.2</w:t>
      </w:r>
      <w:bookmarkEnd w:id="49"/>
    </w:p>
    <w:p>
      <w:pPr>
        <w:widowControl/>
        <w:numPr>
          <w:ilvl w:val="255"/>
          <w:numId w:val="0"/>
        </w:numPr>
        <w:tabs>
          <w:tab w:val="left" w:pos="0"/>
        </w:tabs>
        <w:spacing w:beforeLines="50" w:afterLines="50"/>
        <w:ind w:firstLine="315" w:firstLineChars="150"/>
        <w:jc w:val="left"/>
        <w:outlineLvl w:val="2"/>
        <w:rPr>
          <w:rFonts w:ascii="黑体" w:eastAsia="黑体"/>
          <w:kern w:val="0"/>
          <w:szCs w:val="21"/>
        </w:rPr>
      </w:pPr>
      <w:bookmarkStart w:id="50" w:name="_Toc478734618"/>
      <w:bookmarkStart w:id="51" w:name="_Toc474331546"/>
      <w:r>
        <w:rPr>
          <w:rFonts w:hint="eastAsia" w:ascii="黑体" w:eastAsia="黑体"/>
          <w:kern w:val="0"/>
          <w:szCs w:val="21"/>
        </w:rPr>
        <w:t>社会团体</w:t>
      </w:r>
      <w:r>
        <w:rPr>
          <w:rFonts w:ascii="黑体" w:eastAsia="黑体"/>
          <w:kern w:val="0"/>
          <w:szCs w:val="21"/>
        </w:rPr>
        <w:t>social group</w:t>
      </w:r>
      <w:bookmarkEnd w:id="50"/>
      <w:bookmarkEnd w:id="51"/>
    </w:p>
    <w:p>
      <w:pPr>
        <w:widowControl/>
        <w:autoSpaceDE w:val="0"/>
        <w:autoSpaceDN w:val="0"/>
        <w:ind w:firstLine="420" w:firstLineChars="200"/>
        <w:rPr>
          <w:rFonts w:ascii="宋体"/>
          <w:kern w:val="0"/>
          <w:szCs w:val="21"/>
        </w:rPr>
      </w:pPr>
      <w:r>
        <w:rPr>
          <w:rFonts w:hint="eastAsia" w:ascii="宋体"/>
          <w:kern w:val="0"/>
          <w:szCs w:val="21"/>
        </w:rPr>
        <w:t>公民自愿组成，为实现会员共同意愿，按照其章程开展活动的非营利性社会组织。</w:t>
      </w:r>
    </w:p>
    <w:p>
      <w:pPr>
        <w:pStyle w:val="47"/>
        <w:numPr>
          <w:ilvl w:val="0"/>
          <w:numId w:val="0"/>
        </w:numPr>
        <w:spacing w:before="156" w:after="156"/>
      </w:pPr>
      <w:bookmarkStart w:id="52" w:name="_Toc478734619"/>
      <w:bookmarkStart w:id="53" w:name="_Toc474331548"/>
      <w:r>
        <w:rPr>
          <w:rFonts w:hint="eastAsia"/>
        </w:rPr>
        <w:t>3</w:t>
      </w:r>
      <w:r>
        <w:t>.3</w:t>
      </w:r>
      <w:bookmarkEnd w:id="52"/>
    </w:p>
    <w:p>
      <w:pPr>
        <w:widowControl/>
        <w:numPr>
          <w:ilvl w:val="255"/>
          <w:numId w:val="0"/>
        </w:numPr>
        <w:tabs>
          <w:tab w:val="left" w:pos="0"/>
        </w:tabs>
        <w:spacing w:beforeLines="50" w:afterLines="50"/>
        <w:ind w:firstLine="315" w:firstLineChars="150"/>
        <w:jc w:val="left"/>
        <w:outlineLvl w:val="2"/>
        <w:rPr>
          <w:rFonts w:ascii="黑体" w:eastAsia="黑体"/>
          <w:kern w:val="0"/>
          <w:szCs w:val="21"/>
        </w:rPr>
      </w:pPr>
      <w:bookmarkStart w:id="54" w:name="_Toc478734620"/>
      <w:r>
        <w:rPr>
          <w:rFonts w:hint="eastAsia" w:ascii="黑体" w:eastAsia="黑体"/>
          <w:kern w:val="0"/>
          <w:szCs w:val="21"/>
        </w:rPr>
        <w:t>社会服务机构</w:t>
      </w:r>
      <w:r>
        <w:rPr>
          <w:rFonts w:ascii="黑体" w:eastAsia="黑体"/>
          <w:kern w:val="0"/>
          <w:szCs w:val="21"/>
        </w:rPr>
        <w:t>social service organization</w:t>
      </w:r>
      <w:bookmarkEnd w:id="53"/>
      <w:bookmarkEnd w:id="54"/>
    </w:p>
    <w:p>
      <w:pPr>
        <w:widowControl/>
        <w:autoSpaceDE w:val="0"/>
        <w:autoSpaceDN w:val="0"/>
        <w:ind w:firstLine="420" w:firstLineChars="200"/>
        <w:rPr>
          <w:rFonts w:ascii="黑体" w:eastAsia="黑体"/>
          <w:kern w:val="0"/>
          <w:szCs w:val="21"/>
        </w:rPr>
      </w:pPr>
      <w:r>
        <w:rPr>
          <w:rFonts w:ascii="黑体" w:eastAsia="黑体"/>
          <w:kern w:val="0"/>
          <w:szCs w:val="21"/>
        </w:rPr>
        <w:t xml:space="preserve"> </w:t>
      </w:r>
      <w:r>
        <w:rPr>
          <w:rFonts w:hint="eastAsia" w:ascii="宋体"/>
          <w:kern w:val="0"/>
          <w:szCs w:val="21"/>
        </w:rPr>
        <w:t>自然人、法人或者其他组织，为了提供社会服务，主要利用非国有资产，设立的非营利性法人。</w:t>
      </w:r>
    </w:p>
    <w:p>
      <w:pPr>
        <w:pStyle w:val="47"/>
        <w:numPr>
          <w:ilvl w:val="0"/>
          <w:numId w:val="0"/>
        </w:numPr>
        <w:spacing w:before="156" w:after="156"/>
      </w:pPr>
      <w:bookmarkStart w:id="55" w:name="_Toc478734621"/>
      <w:r>
        <w:rPr>
          <w:rFonts w:hint="eastAsia"/>
        </w:rPr>
        <w:t>3</w:t>
      </w:r>
      <w:r>
        <w:t>.4</w:t>
      </w:r>
      <w:bookmarkEnd w:id="55"/>
    </w:p>
    <w:p>
      <w:pPr>
        <w:pStyle w:val="47"/>
        <w:numPr>
          <w:ilvl w:val="0"/>
          <w:numId w:val="0"/>
        </w:numPr>
        <w:spacing w:before="156" w:after="156"/>
        <w:ind w:firstLine="315" w:firstLineChars="150"/>
      </w:pPr>
      <w:bookmarkStart w:id="56" w:name="_Toc478734622"/>
      <w:bookmarkStart w:id="57" w:name="_Toc474331550"/>
      <w:r>
        <w:rPr>
          <w:rFonts w:hint="eastAsia"/>
        </w:rPr>
        <w:t>基金会</w:t>
      </w:r>
      <w:r>
        <w:t xml:space="preserve"> </w:t>
      </w:r>
      <w:bookmarkEnd w:id="34"/>
      <w:bookmarkEnd w:id="35"/>
      <w:bookmarkEnd w:id="36"/>
      <w:bookmarkEnd w:id="37"/>
      <w:r>
        <w:t>foundation</w:t>
      </w:r>
      <w:bookmarkEnd w:id="38"/>
      <w:bookmarkEnd w:id="39"/>
      <w:bookmarkEnd w:id="40"/>
      <w:bookmarkEnd w:id="41"/>
      <w:bookmarkEnd w:id="42"/>
      <w:bookmarkEnd w:id="56"/>
      <w:bookmarkEnd w:id="57"/>
    </w:p>
    <w:p>
      <w:pPr>
        <w:pStyle w:val="49"/>
        <w:rPr>
          <w:rFonts w:hAnsi="宋体"/>
          <w:szCs w:val="21"/>
        </w:rPr>
      </w:pPr>
      <w:r>
        <w:rPr>
          <w:rFonts w:hint="eastAsia" w:hAnsi="宋体"/>
          <w:szCs w:val="21"/>
        </w:rPr>
        <w:t>利用自然人、法人或者其他组织捐赠的财产，以开展公益慈善活动为目的，按照《基金会管理条例》的规定成立的非营利性法人。</w:t>
      </w:r>
    </w:p>
    <w:p>
      <w:pPr>
        <w:pStyle w:val="47"/>
        <w:numPr>
          <w:ilvl w:val="0"/>
          <w:numId w:val="0"/>
        </w:numPr>
        <w:spacing w:before="156" w:after="156"/>
      </w:pPr>
      <w:bookmarkStart w:id="58" w:name="_Toc478734623"/>
      <w:r>
        <w:rPr>
          <w:rFonts w:hint="eastAsia"/>
        </w:rPr>
        <w:t>3</w:t>
      </w:r>
      <w:r>
        <w:t>.5</w:t>
      </w:r>
      <w:bookmarkEnd w:id="58"/>
    </w:p>
    <w:p>
      <w:pPr>
        <w:pStyle w:val="47"/>
        <w:numPr>
          <w:ilvl w:val="0"/>
          <w:numId w:val="0"/>
        </w:numPr>
        <w:spacing w:before="156" w:after="156"/>
        <w:ind w:firstLine="315" w:firstLineChars="150"/>
      </w:pPr>
      <w:bookmarkStart w:id="59" w:name="_Toc478734624"/>
      <w:bookmarkStart w:id="60" w:name="_Toc474331552"/>
      <w:r>
        <w:rPr>
          <w:rFonts w:hint="eastAsia"/>
        </w:rPr>
        <w:t>行业协会</w:t>
      </w:r>
      <w:r>
        <w:t>business  association</w:t>
      </w:r>
      <w:bookmarkEnd w:id="59"/>
      <w:bookmarkEnd w:id="60"/>
    </w:p>
    <w:p>
      <w:pPr>
        <w:pStyle w:val="49"/>
        <w:rPr>
          <w:rFonts w:hAnsi="宋体"/>
          <w:szCs w:val="21"/>
        </w:rPr>
      </w:pPr>
      <w:r>
        <w:rPr>
          <w:rFonts w:hint="eastAsia" w:hAnsi="宋体"/>
          <w:szCs w:val="21"/>
        </w:rPr>
        <w:t>同行业或者跨行业的企业、其他经济组织以及个体工商户自愿组成，依照章程自律管理，依法设立的非营利性社会团体法人，</w:t>
      </w:r>
      <w:r>
        <w:rPr>
          <w:rFonts w:hAnsi="宋体"/>
          <w:szCs w:val="21"/>
        </w:rPr>
        <w:t>名称</w:t>
      </w:r>
      <w:r>
        <w:rPr>
          <w:rFonts w:hint="eastAsia" w:hAnsi="宋体"/>
          <w:szCs w:val="21"/>
        </w:rPr>
        <w:t>包括</w:t>
      </w:r>
      <w:r>
        <w:rPr>
          <w:rFonts w:hAnsi="宋体"/>
          <w:szCs w:val="21"/>
        </w:rPr>
        <w:t>协会、商会、促进会、同业公会、联合会等</w:t>
      </w:r>
      <w:r>
        <w:rPr>
          <w:rFonts w:hint="eastAsia" w:hAnsi="宋体"/>
          <w:szCs w:val="21"/>
        </w:rPr>
        <w:t>字样</w:t>
      </w:r>
      <w:r>
        <w:rPr>
          <w:rFonts w:hAnsi="宋体"/>
          <w:szCs w:val="21"/>
        </w:rPr>
        <w:t>。</w:t>
      </w:r>
    </w:p>
    <w:p>
      <w:pPr>
        <w:pStyle w:val="157"/>
        <w:widowControl/>
        <w:numPr>
          <w:ilvl w:val="0"/>
          <w:numId w:val="18"/>
        </w:numPr>
        <w:spacing w:beforeLines="100" w:afterLines="100"/>
        <w:ind w:firstLineChars="0"/>
        <w:outlineLvl w:val="1"/>
        <w:rPr>
          <w:rFonts w:ascii="黑体" w:eastAsia="黑体"/>
          <w:kern w:val="0"/>
          <w:szCs w:val="21"/>
        </w:rPr>
      </w:pPr>
      <w:bookmarkStart w:id="61" w:name="_Toc413850679"/>
      <w:bookmarkStart w:id="62" w:name="_Toc478734625"/>
      <w:bookmarkStart w:id="63" w:name="_Toc413846854"/>
      <w:bookmarkStart w:id="64" w:name="_Toc413850616"/>
      <w:r>
        <w:rPr>
          <w:rFonts w:hint="eastAsia" w:ascii="黑体" w:eastAsia="黑体"/>
          <w:kern w:val="0"/>
          <w:szCs w:val="21"/>
        </w:rPr>
        <w:t>基本规定</w:t>
      </w:r>
      <w:bookmarkEnd w:id="61"/>
      <w:bookmarkEnd w:id="62"/>
      <w:bookmarkEnd w:id="63"/>
      <w:bookmarkEnd w:id="64"/>
    </w:p>
    <w:p>
      <w:pPr>
        <w:pStyle w:val="157"/>
        <w:widowControl/>
        <w:spacing w:beforeLines="100" w:afterLines="100"/>
        <w:ind w:firstLine="0" w:firstLineChars="0"/>
        <w:outlineLvl w:val="1"/>
        <w:rPr>
          <w:rFonts w:ascii="黑体" w:eastAsia="黑体"/>
          <w:vanish/>
          <w:kern w:val="0"/>
          <w:szCs w:val="20"/>
        </w:rPr>
      </w:pPr>
      <w:bookmarkStart w:id="65" w:name="_Toc478734626"/>
      <w:bookmarkEnd w:id="65"/>
      <w:bookmarkStart w:id="66" w:name="_Toc474331554"/>
      <w:bookmarkEnd w:id="66"/>
      <w:bookmarkStart w:id="67" w:name="_Toc478717686"/>
      <w:bookmarkEnd w:id="67"/>
      <w:bookmarkStart w:id="68" w:name="_Toc413846855"/>
      <w:bookmarkStart w:id="69" w:name="_Toc413850617"/>
      <w:bookmarkStart w:id="70" w:name="_Toc413850680"/>
    </w:p>
    <w:p>
      <w:pPr>
        <w:pStyle w:val="47"/>
        <w:numPr>
          <w:ilvl w:val="1"/>
          <w:numId w:val="0"/>
        </w:numPr>
        <w:spacing w:before="156" w:after="156"/>
      </w:pPr>
      <w:bookmarkStart w:id="71" w:name="_Toc478734627"/>
      <w:r>
        <w:rPr>
          <w:rFonts w:hint="eastAsia"/>
        </w:rPr>
        <w:t>一般规定</w:t>
      </w:r>
      <w:bookmarkEnd w:id="68"/>
      <w:bookmarkEnd w:id="69"/>
      <w:bookmarkEnd w:id="70"/>
      <w:bookmarkEnd w:id="71"/>
    </w:p>
    <w:p>
      <w:pPr>
        <w:pStyle w:val="46"/>
        <w:spacing w:before="156" w:after="156"/>
        <w:rPr>
          <w:rFonts w:ascii="宋体" w:hAnsi="宋体" w:eastAsia="宋体"/>
        </w:rPr>
      </w:pPr>
      <w:r>
        <w:rPr>
          <w:rFonts w:hint="eastAsia" w:ascii="宋体" w:hAnsi="宋体" w:eastAsia="宋体"/>
        </w:rPr>
        <w:t>对社会团体、社会服务机构、基金会、行业协会进行评估时，应结合《深圳市社会组织评估管理办法》的相关规定，对社会组织的依法登记和接受监督、内部治理规范、业务活动能力、财务管理规范、信息公开规范等方面进行综合评价。</w:t>
      </w:r>
    </w:p>
    <w:p>
      <w:pPr>
        <w:pStyle w:val="46"/>
        <w:spacing w:before="156" w:after="156"/>
        <w:rPr>
          <w:rFonts w:ascii="宋体" w:hAnsi="宋体" w:eastAsia="宋体"/>
        </w:rPr>
      </w:pPr>
      <w:r>
        <w:rPr>
          <w:rFonts w:hint="eastAsia" w:ascii="宋体" w:hAnsi="宋体" w:eastAsia="宋体"/>
        </w:rPr>
        <w:t>对单个社会组织进行评估时，凡涉及系统性、整体性的指标，应基于深圳市所有社会组织发展的整体水平进行评估。</w:t>
      </w:r>
    </w:p>
    <w:p>
      <w:pPr>
        <w:pStyle w:val="47"/>
        <w:numPr>
          <w:ilvl w:val="1"/>
          <w:numId w:val="0"/>
        </w:numPr>
        <w:spacing w:before="156" w:after="156"/>
      </w:pPr>
      <w:bookmarkStart w:id="72" w:name="_Toc413850618"/>
      <w:bookmarkStart w:id="73" w:name="_Toc413846856"/>
      <w:bookmarkStart w:id="74" w:name="_Toc413850681"/>
      <w:bookmarkStart w:id="75" w:name="_Toc478734628"/>
      <w:r>
        <w:rPr>
          <w:rFonts w:hint="eastAsia"/>
        </w:rPr>
        <w:t>评估与等级划分</w:t>
      </w:r>
      <w:bookmarkEnd w:id="72"/>
      <w:bookmarkEnd w:id="73"/>
      <w:bookmarkEnd w:id="74"/>
      <w:bookmarkEnd w:id="75"/>
    </w:p>
    <w:p>
      <w:pPr>
        <w:pStyle w:val="46"/>
        <w:spacing w:before="156" w:after="156"/>
        <w:rPr>
          <w:rFonts w:hAnsi="黑体"/>
        </w:rPr>
      </w:pPr>
      <w:r>
        <w:rPr>
          <w:rFonts w:ascii="宋体" w:hAnsi="宋体" w:eastAsia="宋体"/>
          <w:sz w:val="24"/>
          <w:szCs w:val="24"/>
        </w:rPr>
        <w:t xml:space="preserve"> </w:t>
      </w:r>
      <w:r>
        <w:rPr>
          <w:rFonts w:hAnsi="黑体"/>
        </w:rPr>
        <w:t>5</w:t>
      </w:r>
      <w:r>
        <w:rPr>
          <w:rFonts w:hint="eastAsia" w:hAnsi="黑体"/>
        </w:rPr>
        <w:t>项评估指标</w:t>
      </w:r>
    </w:p>
    <w:p>
      <w:pPr>
        <w:pStyle w:val="49"/>
      </w:pPr>
      <w:r>
        <w:rPr>
          <w:rFonts w:hint="eastAsia" w:hAnsi="黑体"/>
        </w:rPr>
        <w:t>社会团体、社会服务机构、基金会、行业协会等级评估5项指标为：</w:t>
      </w:r>
      <w:r>
        <w:rPr>
          <w:rFonts w:hint="eastAsia" w:hAnsi="宋体"/>
        </w:rPr>
        <w:t>依法登记和接受监督、内部治理规范、业务活动能力、财务管理规范、信息公开规范指标。</w:t>
      </w:r>
      <w:r>
        <w:rPr>
          <w:rFonts w:hAnsi="宋体"/>
        </w:rPr>
        <w:t>5</w:t>
      </w:r>
      <w:r>
        <w:rPr>
          <w:rFonts w:hint="eastAsia" w:hAnsi="宋体"/>
        </w:rPr>
        <w:t>项指标的各项评分分别为依法登记和接受监督</w:t>
      </w:r>
      <w:r>
        <w:rPr>
          <w:rFonts w:hAnsi="宋体"/>
        </w:rPr>
        <w:t>100</w:t>
      </w:r>
      <w:r>
        <w:rPr>
          <w:rFonts w:hint="eastAsia" w:hAnsi="宋体"/>
        </w:rPr>
        <w:t>分、内部治理规范</w:t>
      </w:r>
      <w:r>
        <w:rPr>
          <w:rFonts w:hAnsi="宋体"/>
        </w:rPr>
        <w:t>100</w:t>
      </w:r>
      <w:r>
        <w:rPr>
          <w:rFonts w:hint="eastAsia" w:hAnsi="宋体"/>
        </w:rPr>
        <w:t>分、业务活动能力</w:t>
      </w:r>
      <w:r>
        <w:rPr>
          <w:rFonts w:hAnsi="宋体"/>
        </w:rPr>
        <w:t>100</w:t>
      </w:r>
      <w:r>
        <w:rPr>
          <w:rFonts w:hint="eastAsia" w:hAnsi="宋体"/>
        </w:rPr>
        <w:t>分、财务管理规范</w:t>
      </w:r>
      <w:r>
        <w:rPr>
          <w:rFonts w:hAnsi="宋体"/>
        </w:rPr>
        <w:t>100</w:t>
      </w:r>
      <w:r>
        <w:rPr>
          <w:rFonts w:hint="eastAsia" w:hAnsi="宋体"/>
        </w:rPr>
        <w:t>分、信息公开规范指标</w:t>
      </w:r>
      <w:r>
        <w:rPr>
          <w:rFonts w:hAnsi="宋体"/>
        </w:rPr>
        <w:t>100</w:t>
      </w:r>
      <w:r>
        <w:rPr>
          <w:rFonts w:hint="eastAsia" w:hAnsi="宋体"/>
        </w:rPr>
        <w:t>分。</w:t>
      </w:r>
    </w:p>
    <w:p>
      <w:pPr>
        <w:pStyle w:val="46"/>
        <w:spacing w:before="156" w:after="156"/>
        <w:rPr>
          <w:rFonts w:hAnsi="黑体"/>
        </w:rPr>
      </w:pPr>
      <w:r>
        <w:rPr>
          <w:rFonts w:ascii="宋体" w:hAnsi="宋体" w:eastAsia="宋体"/>
        </w:rPr>
        <w:t xml:space="preserve"> </w:t>
      </w:r>
      <w:r>
        <w:rPr>
          <w:rFonts w:hint="eastAsia" w:hAnsi="黑体"/>
        </w:rPr>
        <w:t>5项评估指标各自合计分值纳入</w:t>
      </w:r>
      <w:r>
        <w:rPr>
          <w:rFonts w:hAnsi="黑体"/>
        </w:rPr>
        <w:t>指标总分的</w:t>
      </w:r>
      <w:r>
        <w:rPr>
          <w:rFonts w:hint="eastAsia" w:hAnsi="黑体"/>
        </w:rPr>
        <w:t>最低分值线</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w:t>
      </w:r>
      <w:r>
        <w:rPr>
          <w:rFonts w:ascii="宋体" w:hAnsi="宋体" w:eastAsia="宋体"/>
        </w:rPr>
        <w:t>会</w:t>
      </w:r>
      <w:r>
        <w:rPr>
          <w:rFonts w:hint="eastAsia" w:ascii="宋体" w:hAnsi="宋体" w:eastAsia="宋体"/>
        </w:rPr>
        <w:t>团体</w:t>
      </w:r>
      <w:r>
        <w:rPr>
          <w:rFonts w:ascii="宋体" w:hAnsi="宋体" w:eastAsia="宋体"/>
        </w:rPr>
        <w:t>、社会服务机构、基金会、行业协会</w:t>
      </w:r>
      <w:r>
        <w:rPr>
          <w:rFonts w:hint="eastAsia" w:ascii="宋体" w:hAnsi="宋体" w:eastAsia="宋体"/>
        </w:rPr>
        <w:t>各自的5项评估指标在具体评分中，如发生其中一项评分指标合计分值</w:t>
      </w:r>
      <w:r>
        <w:rPr>
          <w:rFonts w:ascii="宋体" w:hAnsi="宋体" w:eastAsia="宋体"/>
        </w:rPr>
        <w:t>低于</w:t>
      </w:r>
      <w:r>
        <w:rPr>
          <w:rFonts w:hint="eastAsia" w:ascii="宋体" w:hAnsi="宋体" w:eastAsia="宋体"/>
        </w:rPr>
        <w:t>50分（含50分）的情形，则评估对象</w:t>
      </w:r>
      <w:r>
        <w:rPr>
          <w:rFonts w:ascii="宋体" w:hAnsi="宋体" w:eastAsia="宋体"/>
        </w:rPr>
        <w:t>的该项</w:t>
      </w:r>
      <w:r>
        <w:rPr>
          <w:rFonts w:hint="eastAsia" w:ascii="宋体" w:hAnsi="宋体" w:eastAsia="宋体"/>
        </w:rPr>
        <w:t>合计分值不能</w:t>
      </w:r>
      <w:r>
        <w:rPr>
          <w:rFonts w:ascii="宋体" w:hAnsi="宋体" w:eastAsia="宋体"/>
        </w:rPr>
        <w:t>纳入指标总分</w:t>
      </w:r>
      <w:r>
        <w:rPr>
          <w:rFonts w:hint="eastAsia" w:ascii="宋体" w:hAnsi="宋体" w:eastAsia="宋体"/>
        </w:rPr>
        <w:t>加权平均</w:t>
      </w:r>
      <w:r>
        <w:rPr>
          <w:rFonts w:ascii="宋体" w:hAnsi="宋体" w:eastAsia="宋体"/>
        </w:rPr>
        <w:t>。</w:t>
      </w:r>
    </w:p>
    <w:p>
      <w:pPr>
        <w:pStyle w:val="46"/>
        <w:spacing w:before="156" w:after="156"/>
        <w:rPr>
          <w:rFonts w:hAnsi="黑体"/>
        </w:rPr>
      </w:pPr>
      <w:r>
        <w:rPr>
          <w:rFonts w:hint="eastAsia" w:hAnsi="黑体"/>
        </w:rPr>
        <w:t>指标总分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社会团体、社会服务机构、基金会、行业协会评估的指标总分均为</w:t>
      </w:r>
      <w:r>
        <w:rPr>
          <w:rFonts w:ascii="宋体" w:hAnsi="宋体" w:eastAsia="宋体"/>
        </w:rPr>
        <w:t>500</w:t>
      </w:r>
      <w:r>
        <w:rPr>
          <w:rFonts w:hint="eastAsia" w:ascii="宋体" w:hAnsi="宋体" w:eastAsia="宋体"/>
        </w:rPr>
        <w:t>分，为依法登记和接受监督、内部治理规范、业务活动能力、财务管理规范、信息公开规范指标相加的总分。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参评社会团体、社会服务机构、基金会、行业协会在评估</w:t>
      </w:r>
      <w:r>
        <w:rPr>
          <w:rFonts w:ascii="宋体" w:hAnsi="宋体" w:eastAsia="宋体"/>
        </w:rPr>
        <w:t>中</w:t>
      </w:r>
      <w:r>
        <w:rPr>
          <w:rFonts w:hint="eastAsia" w:ascii="宋体" w:hAnsi="宋体" w:eastAsia="宋体"/>
        </w:rPr>
        <w:t>的指标总分</w:t>
      </w:r>
      <w:r>
        <w:rPr>
          <w:rFonts w:ascii="宋体" w:hAnsi="宋体" w:eastAsia="宋体"/>
        </w:rPr>
        <w:t>，</w:t>
      </w:r>
      <w:r>
        <w:rPr>
          <w:rFonts w:hint="eastAsia" w:ascii="宋体" w:hAnsi="宋体" w:eastAsia="宋体"/>
        </w:rPr>
        <w:t>是按照评分</w:t>
      </w:r>
      <w:r>
        <w:rPr>
          <w:rFonts w:ascii="宋体" w:hAnsi="宋体" w:eastAsia="宋体"/>
        </w:rPr>
        <w:t>表</w:t>
      </w:r>
      <w:r>
        <w:rPr>
          <w:rFonts w:hint="eastAsia" w:ascii="宋体" w:hAnsi="宋体" w:eastAsia="宋体"/>
        </w:rPr>
        <w:t>的实际得分。</w:t>
      </w:r>
    </w:p>
    <w:p>
      <w:pPr>
        <w:pStyle w:val="46"/>
        <w:spacing w:before="156" w:after="156"/>
        <w:rPr>
          <w:rFonts w:hAnsi="黑体"/>
        </w:rPr>
      </w:pPr>
      <w:r>
        <w:rPr>
          <w:rFonts w:hint="eastAsia" w:hAnsi="黑体"/>
        </w:rPr>
        <w:t>标准分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社会团体、社会服务机构、基金会、行业协会评估的标准分均是</w:t>
      </w:r>
      <w:r>
        <w:rPr>
          <w:rFonts w:ascii="宋体" w:hAnsi="宋体" w:eastAsia="宋体"/>
        </w:rPr>
        <w:t>100</w:t>
      </w:r>
      <w:r>
        <w:rPr>
          <w:rFonts w:hint="eastAsia" w:ascii="宋体" w:hAnsi="宋体" w:eastAsia="宋体"/>
        </w:rPr>
        <w:t>分，即参评社会</w:t>
      </w:r>
      <w:r>
        <w:rPr>
          <w:rFonts w:ascii="宋体" w:hAnsi="宋体" w:eastAsia="宋体"/>
        </w:rPr>
        <w:t>组织</w:t>
      </w:r>
      <w:r>
        <w:rPr>
          <w:rFonts w:hint="eastAsia" w:ascii="宋体" w:hAnsi="宋体" w:eastAsia="宋体"/>
        </w:rPr>
        <w:t>在评估中的最终得分。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社会团体、社会服务机构、基金会、行业协会评估评估的标准分均是在指标总分</w:t>
      </w:r>
      <w:r>
        <w:rPr>
          <w:rFonts w:ascii="宋体" w:hAnsi="宋体" w:eastAsia="宋体"/>
        </w:rPr>
        <w:t>500</w:t>
      </w:r>
      <w:r>
        <w:rPr>
          <w:rFonts w:hint="eastAsia" w:ascii="宋体" w:hAnsi="宋体" w:eastAsia="宋体"/>
        </w:rPr>
        <w:t>分加权计算之后的分数。</w:t>
      </w:r>
    </w:p>
    <w:p>
      <w:pPr>
        <w:pStyle w:val="46"/>
        <w:spacing w:before="156" w:after="156"/>
        <w:rPr>
          <w:rFonts w:hAnsi="黑体"/>
        </w:rPr>
      </w:pPr>
      <w:r>
        <w:rPr>
          <w:rFonts w:hint="eastAsia" w:hAnsi="黑体"/>
        </w:rPr>
        <w:t>标准分的计算分配原则</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社会团体、社会服务机构、基金会、行业协会标准分</w:t>
      </w:r>
      <w:r>
        <w:rPr>
          <w:rFonts w:ascii="宋体" w:hAnsi="宋体" w:eastAsia="宋体"/>
        </w:rPr>
        <w:t>100</w:t>
      </w:r>
      <w:r>
        <w:rPr>
          <w:rFonts w:hint="eastAsia" w:ascii="宋体" w:hAnsi="宋体" w:eastAsia="宋体"/>
        </w:rPr>
        <w:t>分的计算分配原则均是：依法登记和接受监管</w:t>
      </w:r>
      <w:r>
        <w:rPr>
          <w:rFonts w:ascii="宋体" w:hAnsi="宋体" w:eastAsia="宋体"/>
        </w:rPr>
        <w:t>15</w:t>
      </w:r>
      <w:r>
        <w:rPr>
          <w:rFonts w:hint="eastAsia" w:ascii="宋体" w:hAnsi="宋体" w:eastAsia="宋体"/>
        </w:rPr>
        <w:t>分、内部治理</w:t>
      </w:r>
      <w:r>
        <w:rPr>
          <w:rFonts w:ascii="宋体" w:hAnsi="宋体" w:eastAsia="宋体"/>
        </w:rPr>
        <w:t>25</w:t>
      </w:r>
      <w:r>
        <w:rPr>
          <w:rFonts w:hint="eastAsia" w:ascii="宋体" w:hAnsi="宋体" w:eastAsia="宋体"/>
        </w:rPr>
        <w:t>分、业务活动</w:t>
      </w:r>
      <w:r>
        <w:rPr>
          <w:rFonts w:ascii="宋体" w:hAnsi="宋体" w:eastAsia="宋体"/>
        </w:rPr>
        <w:t>25</w:t>
      </w:r>
      <w:r>
        <w:rPr>
          <w:rFonts w:hint="eastAsia" w:ascii="宋体" w:hAnsi="宋体" w:eastAsia="宋体"/>
        </w:rPr>
        <w:t>分、财务管理</w:t>
      </w:r>
      <w:r>
        <w:rPr>
          <w:rFonts w:ascii="宋体" w:hAnsi="宋体" w:eastAsia="宋体"/>
        </w:rPr>
        <w:t>2</w:t>
      </w:r>
      <w:r>
        <w:rPr>
          <w:rFonts w:hint="eastAsia" w:ascii="宋体" w:hAnsi="宋体" w:eastAsia="宋体"/>
        </w:rPr>
        <w:t>0分、信息公开</w:t>
      </w:r>
      <w:r>
        <w:rPr>
          <w:rFonts w:ascii="宋体" w:hAnsi="宋体" w:eastAsia="宋体"/>
        </w:rPr>
        <w:t>1</w:t>
      </w:r>
      <w:r>
        <w:rPr>
          <w:rFonts w:hint="eastAsia" w:ascii="宋体" w:hAnsi="宋体" w:eastAsia="宋体"/>
        </w:rPr>
        <w:t>5分。</w:t>
      </w:r>
    </w:p>
    <w:tbl>
      <w:tblPr>
        <w:tblStyle w:val="33"/>
        <w:tblW w:w="91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8"/>
        <w:gridCol w:w="2096"/>
        <w:gridCol w:w="2096"/>
        <w:gridCol w:w="2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评估</w:t>
            </w:r>
            <w:r>
              <w:rPr>
                <w:sz w:val="18"/>
              </w:rPr>
              <w:t>指标</w:t>
            </w:r>
          </w:p>
        </w:tc>
        <w:tc>
          <w:tcPr>
            <w:tcW w:w="2096" w:type="dxa"/>
          </w:tcPr>
          <w:p>
            <w:pPr>
              <w:pStyle w:val="49"/>
              <w:spacing w:before="312" w:after="312"/>
              <w:ind w:firstLine="0" w:firstLineChars="0"/>
              <w:jc w:val="left"/>
              <w:rPr>
                <w:sz w:val="18"/>
              </w:rPr>
            </w:pPr>
            <w:r>
              <w:rPr>
                <w:rFonts w:hint="eastAsia"/>
                <w:sz w:val="18"/>
              </w:rPr>
              <w:t>指标</w:t>
            </w:r>
            <w:r>
              <w:rPr>
                <w:sz w:val="18"/>
              </w:rPr>
              <w:t>总分</w:t>
            </w:r>
          </w:p>
        </w:tc>
        <w:tc>
          <w:tcPr>
            <w:tcW w:w="2096" w:type="dxa"/>
          </w:tcPr>
          <w:p>
            <w:pPr>
              <w:spacing w:before="312" w:after="312"/>
              <w:jc w:val="left"/>
              <w:rPr>
                <w:kern w:val="0"/>
                <w:sz w:val="18"/>
                <w:szCs w:val="18"/>
              </w:rPr>
            </w:pPr>
            <w:r>
              <w:rPr>
                <w:rFonts w:hint="eastAsia"/>
                <w:kern w:val="0"/>
                <w:sz w:val="21"/>
                <w:szCs w:val="18"/>
              </w:rPr>
              <w:t>权重比例</w:t>
            </w:r>
          </w:p>
        </w:tc>
        <w:tc>
          <w:tcPr>
            <w:tcW w:w="2096" w:type="dxa"/>
          </w:tcPr>
          <w:p>
            <w:pPr>
              <w:pStyle w:val="49"/>
              <w:spacing w:before="312" w:after="312"/>
              <w:ind w:firstLine="0" w:firstLineChars="0"/>
              <w:jc w:val="left"/>
              <w:rPr>
                <w:sz w:val="18"/>
              </w:rPr>
            </w:pPr>
            <w:r>
              <w:rPr>
                <w:rFonts w:hint="eastAsia"/>
                <w:sz w:val="18"/>
              </w:rPr>
              <w:t>标准</w:t>
            </w: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依法</w:t>
            </w:r>
            <w:r>
              <w:rPr>
                <w:sz w:val="18"/>
              </w:rPr>
              <w:t>登记和</w:t>
            </w:r>
            <w:r>
              <w:rPr>
                <w:rFonts w:hint="eastAsia"/>
                <w:sz w:val="18"/>
              </w:rPr>
              <w:t>接受</w:t>
            </w:r>
            <w:r>
              <w:rPr>
                <w:sz w:val="18"/>
              </w:rPr>
              <w:t>监管</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15%</w:t>
            </w:r>
          </w:p>
        </w:tc>
        <w:tc>
          <w:tcPr>
            <w:tcW w:w="2096" w:type="dxa"/>
          </w:tcPr>
          <w:p>
            <w:pPr>
              <w:pStyle w:val="49"/>
              <w:spacing w:before="312" w:after="312"/>
              <w:ind w:firstLine="0" w:firstLineChars="0"/>
              <w:jc w:val="left"/>
              <w:rPr>
                <w:sz w:val="18"/>
              </w:rPr>
            </w:pPr>
            <w:r>
              <w:rPr>
                <w:rFonts w:hint="eastAsia"/>
                <w:sz w:val="18"/>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内部</w:t>
            </w:r>
            <w:r>
              <w:rPr>
                <w:sz w:val="18"/>
              </w:rPr>
              <w:t>治理</w:t>
            </w:r>
            <w:r>
              <w:rPr>
                <w:rFonts w:hint="eastAsia"/>
                <w:sz w:val="18"/>
              </w:rPr>
              <w:t>规范</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25%</w:t>
            </w:r>
          </w:p>
        </w:tc>
        <w:tc>
          <w:tcPr>
            <w:tcW w:w="2096" w:type="dxa"/>
          </w:tcPr>
          <w:p>
            <w:pPr>
              <w:pStyle w:val="49"/>
              <w:spacing w:before="312" w:after="312"/>
              <w:ind w:firstLine="0" w:firstLineChars="0"/>
              <w:jc w:val="left"/>
              <w:rPr>
                <w:sz w:val="18"/>
              </w:rPr>
            </w:pPr>
            <w:r>
              <w:rPr>
                <w:sz w:val="18"/>
              </w:rPr>
              <w:t>2</w:t>
            </w:r>
            <w:r>
              <w:rPr>
                <w:rFonts w:hint="eastAsia"/>
                <w:sz w:val="18"/>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业务</w:t>
            </w:r>
            <w:r>
              <w:rPr>
                <w:sz w:val="18"/>
              </w:rPr>
              <w:t>活动</w:t>
            </w:r>
            <w:r>
              <w:rPr>
                <w:rFonts w:hint="eastAsia"/>
                <w:sz w:val="18"/>
              </w:rPr>
              <w:t>能力</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25%</w:t>
            </w:r>
          </w:p>
        </w:tc>
        <w:tc>
          <w:tcPr>
            <w:tcW w:w="2096" w:type="dxa"/>
          </w:tcPr>
          <w:p>
            <w:pPr>
              <w:pStyle w:val="49"/>
              <w:spacing w:before="312" w:after="312"/>
              <w:ind w:firstLine="0" w:firstLineChars="0"/>
              <w:jc w:val="left"/>
              <w:rPr>
                <w:sz w:val="18"/>
              </w:rPr>
            </w:pPr>
            <w:r>
              <w:rPr>
                <w:rFonts w:hint="eastAsia"/>
                <w:sz w:val="18"/>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财务</w:t>
            </w:r>
            <w:r>
              <w:rPr>
                <w:sz w:val="18"/>
              </w:rPr>
              <w:t>管理</w:t>
            </w:r>
            <w:r>
              <w:rPr>
                <w:rFonts w:hint="eastAsia"/>
                <w:sz w:val="18"/>
              </w:rPr>
              <w:t>规范</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20%</w:t>
            </w:r>
          </w:p>
        </w:tc>
        <w:tc>
          <w:tcPr>
            <w:tcW w:w="2096" w:type="dxa"/>
          </w:tcPr>
          <w:p>
            <w:pPr>
              <w:pStyle w:val="49"/>
              <w:spacing w:before="312" w:after="312"/>
              <w:ind w:firstLine="0" w:firstLineChars="0"/>
              <w:jc w:val="left"/>
              <w:rPr>
                <w:sz w:val="18"/>
              </w:rPr>
            </w:pPr>
            <w:r>
              <w:rPr>
                <w:rFonts w:hint="eastAsia"/>
                <w:sz w:val="18"/>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信息</w:t>
            </w:r>
            <w:r>
              <w:rPr>
                <w:sz w:val="18"/>
              </w:rPr>
              <w:t>公开</w:t>
            </w:r>
            <w:r>
              <w:rPr>
                <w:rFonts w:hint="eastAsia"/>
                <w:sz w:val="18"/>
              </w:rPr>
              <w:t>规范</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15%</w:t>
            </w:r>
          </w:p>
        </w:tc>
        <w:tc>
          <w:tcPr>
            <w:tcW w:w="2096" w:type="dxa"/>
          </w:tcPr>
          <w:p>
            <w:pPr>
              <w:pStyle w:val="49"/>
              <w:spacing w:before="312" w:after="312"/>
              <w:ind w:firstLine="0" w:firstLineChars="0"/>
              <w:jc w:val="left"/>
              <w:rPr>
                <w:sz w:val="18"/>
              </w:rPr>
            </w:pPr>
            <w:r>
              <w:rPr>
                <w:rFonts w:hint="eastAsia"/>
                <w:sz w:val="18"/>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总分</w:t>
            </w:r>
          </w:p>
        </w:tc>
        <w:tc>
          <w:tcPr>
            <w:tcW w:w="2096" w:type="dxa"/>
          </w:tcPr>
          <w:p>
            <w:pPr>
              <w:pStyle w:val="49"/>
              <w:spacing w:before="312" w:after="312"/>
              <w:ind w:firstLine="0" w:firstLineChars="0"/>
              <w:jc w:val="left"/>
              <w:rPr>
                <w:sz w:val="18"/>
              </w:rPr>
            </w:pPr>
            <w:r>
              <w:rPr>
                <w:rFonts w:hint="eastAsia"/>
                <w:sz w:val="18"/>
              </w:rPr>
              <w:t>500分</w:t>
            </w:r>
          </w:p>
        </w:tc>
        <w:tc>
          <w:tcPr>
            <w:tcW w:w="2096" w:type="dxa"/>
          </w:tcPr>
          <w:p>
            <w:pPr>
              <w:spacing w:before="312" w:after="312"/>
              <w:jc w:val="left"/>
              <w:rPr>
                <w:kern w:val="0"/>
                <w:sz w:val="21"/>
                <w:szCs w:val="18"/>
              </w:rPr>
            </w:pPr>
            <w:r>
              <w:rPr>
                <w:kern w:val="0"/>
                <w:sz w:val="21"/>
                <w:szCs w:val="18"/>
              </w:rPr>
              <w:t>1</w:t>
            </w:r>
            <w:r>
              <w:rPr>
                <w:rFonts w:hint="eastAsia"/>
                <w:kern w:val="0"/>
                <w:sz w:val="21"/>
                <w:szCs w:val="18"/>
              </w:rPr>
              <w:t>00</w:t>
            </w:r>
            <w:r>
              <w:rPr>
                <w:kern w:val="0"/>
                <w:sz w:val="21"/>
                <w:szCs w:val="18"/>
              </w:rPr>
              <w:t>%</w:t>
            </w:r>
          </w:p>
        </w:tc>
        <w:tc>
          <w:tcPr>
            <w:tcW w:w="2096" w:type="dxa"/>
          </w:tcPr>
          <w:p>
            <w:pPr>
              <w:pStyle w:val="49"/>
              <w:spacing w:before="312" w:after="312"/>
              <w:ind w:firstLine="0" w:firstLineChars="0"/>
              <w:jc w:val="left"/>
              <w:rPr>
                <w:sz w:val="18"/>
              </w:rPr>
            </w:pPr>
            <w:r>
              <w:rPr>
                <w:rFonts w:hint="eastAsia"/>
                <w:sz w:val="18"/>
              </w:rPr>
              <w:t>100分</w:t>
            </w:r>
          </w:p>
        </w:tc>
      </w:tr>
    </w:tbl>
    <w:p>
      <w:pPr>
        <w:pStyle w:val="49"/>
        <w:ind w:firstLine="0" w:firstLineChars="0"/>
      </w:pPr>
    </w:p>
    <w:p>
      <w:pPr>
        <w:pStyle w:val="46"/>
        <w:spacing w:before="156" w:after="156"/>
        <w:rPr>
          <w:rFonts w:hAnsi="黑体"/>
        </w:rPr>
      </w:pPr>
      <w:r>
        <w:rPr>
          <w:rFonts w:hint="eastAsia" w:hAnsi="黑体"/>
        </w:rPr>
        <w:t>评估分值计算方法</w:t>
      </w:r>
    </w:p>
    <w:p>
      <w:pPr>
        <w:pStyle w:val="46"/>
        <w:numPr>
          <w:ilvl w:val="3"/>
          <w:numId w:val="0"/>
        </w:numPr>
        <w:spacing w:before="156" w:after="156"/>
        <w:ind w:firstLine="480"/>
        <w:rPr>
          <w:rFonts w:ascii="宋体" w:hAnsi="宋体" w:eastAsia="宋体"/>
        </w:rPr>
      </w:pPr>
      <w:r>
        <w:rPr>
          <w:rFonts w:hint="eastAsia" w:ascii="宋体" w:hAnsi="宋体" w:eastAsia="宋体"/>
        </w:rPr>
        <w:t>对社会团体、社会服务机构、基金会、行业协会的评估均设</w:t>
      </w:r>
      <w:r>
        <w:rPr>
          <w:rFonts w:ascii="宋体" w:hAnsi="宋体" w:eastAsia="宋体"/>
        </w:rPr>
        <w:t>5</w:t>
      </w:r>
      <w:r>
        <w:rPr>
          <w:rFonts w:hint="eastAsia" w:ascii="宋体" w:hAnsi="宋体" w:eastAsia="宋体"/>
        </w:rPr>
        <w:t>个分项指标，每个分项指标设若干指标，每个分项指标的总分为</w:t>
      </w:r>
      <w:r>
        <w:rPr>
          <w:rFonts w:ascii="宋体" w:hAnsi="宋体" w:eastAsia="宋体"/>
        </w:rPr>
        <w:t>100</w:t>
      </w:r>
      <w:r>
        <w:rPr>
          <w:rFonts w:hint="eastAsia" w:ascii="宋体" w:hAnsi="宋体" w:eastAsia="宋体"/>
        </w:rPr>
        <w:t>分，在</w:t>
      </w:r>
      <w:r>
        <w:rPr>
          <w:rFonts w:ascii="宋体" w:hAnsi="宋体" w:eastAsia="宋体"/>
        </w:rPr>
        <w:t>5</w:t>
      </w:r>
      <w:r>
        <w:rPr>
          <w:rFonts w:hint="eastAsia" w:ascii="宋体" w:hAnsi="宋体" w:eastAsia="宋体"/>
        </w:rPr>
        <w:t>个分项指标中占一定的权重，合计得出每类社会组织的评估标准分</w:t>
      </w:r>
      <w:r>
        <w:rPr>
          <w:rFonts w:ascii="宋体" w:hAnsi="宋体" w:eastAsia="宋体"/>
        </w:rPr>
        <w:t>100</w:t>
      </w:r>
      <w:r>
        <w:rPr>
          <w:rFonts w:hint="eastAsia" w:ascii="宋体" w:hAnsi="宋体" w:eastAsia="宋体"/>
        </w:rPr>
        <w:t>分。</w:t>
      </w:r>
    </w:p>
    <w:p>
      <w:pPr>
        <w:pStyle w:val="46"/>
        <w:numPr>
          <w:ilvl w:val="3"/>
          <w:numId w:val="0"/>
        </w:numPr>
        <w:spacing w:before="156" w:after="156"/>
        <w:ind w:firstLine="480"/>
        <w:rPr>
          <w:rFonts w:ascii="宋体" w:hAnsi="宋体" w:eastAsia="宋体"/>
        </w:rPr>
      </w:pPr>
      <w:r>
        <w:rPr>
          <w:rFonts w:hint="eastAsia" w:ascii="宋体" w:hAnsi="宋体" w:eastAsia="宋体"/>
        </w:rPr>
        <w:t>专家根据各社会组织的实际情况每个分项指标的子指标给出评分（</w:t>
      </w:r>
      <w:r>
        <w:rPr>
          <w:rFonts w:hint="eastAsia" w:ascii="宋体" w:hAnsi="宋体" w:eastAsia="宋体"/>
          <w:position w:val="-6"/>
        </w:rPr>
        <w:object>
          <v:shape id="_x0000_i1025" o:spt="75" type="#_x0000_t75" style="height:14.25pt;width:14.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宋体" w:hAnsi="宋体" w:eastAsia="宋体"/>
        </w:rPr>
        <w:t>），根据每个分项指标的得分</w:t>
      </w:r>
      <w:r>
        <w:rPr>
          <w:rFonts w:ascii="宋体" w:hAnsi="宋体" w:eastAsia="宋体"/>
        </w:rPr>
        <w:t xml:space="preserve"> </w:t>
      </w:r>
      <w:r>
        <w:rPr>
          <w:rFonts w:hint="eastAsia" w:ascii="宋体" w:hAnsi="宋体" w:eastAsia="宋体"/>
        </w:rPr>
        <w:t>（</w:t>
      </w:r>
      <w:r>
        <w:rPr>
          <w:rFonts w:hint="eastAsia" w:ascii="宋体" w:hAnsi="宋体" w:eastAsia="宋体"/>
          <w:position w:val="-6"/>
        </w:rPr>
        <w:object>
          <v:shape id="_x0000_i1026"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eastAsia="宋体"/>
        </w:rPr>
        <w:t>）和设定的权重（</w:t>
      </w:r>
      <w:r>
        <w:rPr>
          <w:rFonts w:hint="eastAsia" w:ascii="宋体" w:hAnsi="宋体" w:eastAsia="宋体"/>
          <w:position w:val="-6"/>
        </w:rPr>
        <w:object>
          <v:shape id="_x0000_i1027" o:spt="75" type="#_x0000_t75" style="height:14.25pt;width:9.7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eastAsia="宋体"/>
        </w:rPr>
        <w:t>）相乘计算出得分，并将乘积加总得出评估总分数（</w:t>
      </w:r>
      <w:r>
        <w:rPr>
          <w:rFonts w:hint="eastAsia" w:ascii="宋体" w:hAnsi="宋体" w:eastAsia="宋体"/>
          <w:position w:val="-6"/>
        </w:rPr>
        <w:object>
          <v:shape id="_x0000_i1028" o:spt="75" type="#_x0000_t75" style="height:14.25pt;width:11.2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eastAsia="宋体"/>
        </w:rPr>
        <w:t>）。</w:t>
      </w:r>
    </w:p>
    <w:p>
      <w:pPr>
        <w:pStyle w:val="46"/>
        <w:numPr>
          <w:ilvl w:val="0"/>
          <w:numId w:val="19"/>
        </w:numPr>
        <w:spacing w:before="156" w:after="156"/>
        <w:ind w:firstLine="420" w:firstLineChars="200"/>
        <w:rPr>
          <w:rFonts w:ascii="宋体" w:hAnsi="宋体" w:eastAsia="宋体"/>
        </w:rPr>
      </w:pPr>
      <w:r>
        <w:rPr>
          <w:rFonts w:hint="eastAsia" w:ascii="宋体" w:hAnsi="宋体" w:eastAsia="宋体"/>
        </w:rPr>
        <w:t>其公式为：</w:t>
      </w:r>
    </w:p>
    <w:p>
      <w:pPr>
        <w:pStyle w:val="46"/>
        <w:spacing w:before="156" w:after="156"/>
        <w:rPr>
          <w:rFonts w:ascii="宋体" w:hAnsi="宋体" w:eastAsia="宋体"/>
        </w:rPr>
      </w:pPr>
      <w:r>
        <w:rPr>
          <w:rFonts w:hint="eastAsia" w:ascii="宋体" w:hAnsi="宋体" w:eastAsia="宋体"/>
        </w:rPr>
        <w:t xml:space="preserve">               </w:t>
      </w:r>
      <w:r>
        <w:rPr>
          <w:rFonts w:hint="eastAsia" w:ascii="宋体" w:hAnsi="宋体" w:eastAsia="宋体"/>
          <w:position w:val="-64"/>
        </w:rPr>
        <w:object>
          <v:shape id="_x0000_i1029" o:spt="75" type="#_x0000_t75" style="height:117.75pt;width:124.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b)说明：</w:t>
      </w:r>
    </w:p>
    <w:p>
      <w:pPr>
        <w:pStyle w:val="46"/>
        <w:numPr>
          <w:ilvl w:val="0"/>
          <w:numId w:val="0"/>
        </w:numPr>
        <w:spacing w:before="156" w:after="156"/>
        <w:rPr>
          <w:rFonts w:ascii="宋体" w:hAnsi="宋体" w:eastAsia="宋体"/>
        </w:rPr>
      </w:pPr>
      <w:r>
        <w:rPr>
          <w:rFonts w:hint="eastAsia" w:ascii="宋体" w:hAnsi="宋体" w:eastAsia="宋体"/>
        </w:rPr>
        <w:t xml:space="preserve">    </w:t>
      </w:r>
      <w:r>
        <w:rPr>
          <w:rFonts w:ascii="宋体" w:hAnsi="宋体" w:eastAsia="宋体"/>
          <w:position w:val="-6"/>
        </w:rPr>
        <w:object>
          <v:shape id="_x0000_i1030" o:spt="75" type="#_x0000_t75" style="height:14.25pt;width:14.2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rPr>
          <w:rFonts w:ascii="宋体" w:hAnsi="宋体" w:eastAsia="宋体"/>
        </w:rPr>
        <w:t>—</w:t>
      </w:r>
      <w:r>
        <w:rPr>
          <w:rFonts w:hint="eastAsia" w:ascii="宋体" w:hAnsi="宋体" w:eastAsia="宋体"/>
        </w:rPr>
        <w:t>为每个分项指标算出的分值。</w:t>
      </w:r>
    </w:p>
    <w:p>
      <w:pPr>
        <w:pStyle w:val="46"/>
        <w:numPr>
          <w:ilvl w:val="0"/>
          <w:numId w:val="0"/>
        </w:numPr>
        <w:spacing w:before="156" w:after="156"/>
        <w:ind w:firstLine="420"/>
        <w:rPr>
          <w:rFonts w:ascii="宋体" w:hAnsi="宋体" w:eastAsia="宋体"/>
        </w:rPr>
      </w:pPr>
      <w:r>
        <w:rPr>
          <w:rFonts w:ascii="宋体" w:hAnsi="宋体" w:eastAsia="宋体"/>
          <w:position w:val="-6"/>
        </w:rPr>
        <w:object>
          <v:shape id="_x0000_i1031" o:spt="75" type="#_x0000_t75" style="height:14.25pt;width:9.75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r>
        <w:rPr>
          <w:rFonts w:ascii="宋体" w:hAnsi="宋体" w:eastAsia="宋体"/>
        </w:rPr>
        <w:t>—</w:t>
      </w:r>
      <w:r>
        <w:rPr>
          <w:rFonts w:hint="eastAsia" w:ascii="宋体" w:hAnsi="宋体" w:eastAsia="宋体"/>
        </w:rPr>
        <w:t>为每个分项指标设定相应的权重比例。</w:t>
      </w:r>
    </w:p>
    <w:p>
      <w:pPr>
        <w:pStyle w:val="46"/>
        <w:spacing w:before="156" w:after="156"/>
        <w:rPr>
          <w:rFonts w:hAnsi="黑体"/>
        </w:rPr>
      </w:pPr>
      <w:r>
        <w:rPr>
          <w:rFonts w:hint="eastAsia" w:hAnsi="黑体"/>
        </w:rPr>
        <w:t>评估等级确定方法</w:t>
      </w:r>
    </w:p>
    <w:p>
      <w:pPr>
        <w:pStyle w:val="49"/>
      </w:pPr>
      <w:r>
        <w:rPr>
          <w:rFonts w:hint="eastAsia"/>
        </w:rPr>
        <w:t>社会</w:t>
      </w:r>
      <w:r>
        <w:t>组织含</w:t>
      </w:r>
      <w:r>
        <w:rPr>
          <w:rFonts w:hint="eastAsia"/>
        </w:rPr>
        <w:t>社会团体、社会服务机构、基金会、行业协会评估等级的确定方法是：标准分0分以上</w:t>
      </w:r>
      <w:r>
        <w:t>5</w:t>
      </w:r>
      <w:r>
        <w:rPr>
          <w:rFonts w:hint="eastAsia"/>
        </w:rPr>
        <w:t>0分以下，评估等级为无</w:t>
      </w:r>
      <w:r>
        <w:t>等级</w:t>
      </w:r>
      <w:r>
        <w:rPr>
          <w:rFonts w:hint="eastAsia"/>
        </w:rPr>
        <w:t>；标准分5</w:t>
      </w:r>
      <w:r>
        <w:t>1</w:t>
      </w:r>
      <w:r>
        <w:rPr>
          <w:rFonts w:hint="eastAsia"/>
        </w:rPr>
        <w:t>分以上60分以下，评估等级为1A；标准分6</w:t>
      </w:r>
      <w:r>
        <w:t>1</w:t>
      </w:r>
      <w:r>
        <w:rPr>
          <w:rFonts w:hint="eastAsia"/>
        </w:rPr>
        <w:t>分以上70分以下，评估等级为2A；标准分7</w:t>
      </w:r>
      <w:r>
        <w:t>1</w:t>
      </w:r>
      <w:r>
        <w:rPr>
          <w:rFonts w:hint="eastAsia"/>
        </w:rPr>
        <w:t>分以上80分以下，评估等级为3A；标准分8</w:t>
      </w:r>
      <w:r>
        <w:t>1</w:t>
      </w:r>
      <w:r>
        <w:rPr>
          <w:rFonts w:hint="eastAsia"/>
        </w:rPr>
        <w:t>分以上90分以下，评估等级为4A；标准分9</w:t>
      </w:r>
      <w:r>
        <w:t>1</w:t>
      </w:r>
      <w:r>
        <w:rPr>
          <w:rFonts w:hint="eastAsia"/>
        </w:rPr>
        <w:t>分以上100分以下，评估等级为5A。</w:t>
      </w:r>
    </w:p>
    <w:tbl>
      <w:tblPr>
        <w:tblStyle w:val="33"/>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1701"/>
        <w:gridCol w:w="1435"/>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962" w:type="dxa"/>
          </w:tcPr>
          <w:p>
            <w:pPr>
              <w:pStyle w:val="49"/>
              <w:spacing w:before="312" w:after="312"/>
              <w:ind w:firstLine="1620" w:firstLineChars="900"/>
              <w:rPr>
                <w:sz w:val="18"/>
              </w:rPr>
            </w:pPr>
            <w:r>
              <w:rPr>
                <w:rFonts w:hint="eastAsia"/>
                <w:sz w:val="18"/>
              </w:rPr>
              <w:t>评估类别</w:t>
            </w:r>
          </w:p>
        </w:tc>
        <w:tc>
          <w:tcPr>
            <w:tcW w:w="1701" w:type="dxa"/>
          </w:tcPr>
          <w:p>
            <w:pPr>
              <w:pStyle w:val="49"/>
              <w:spacing w:before="312" w:after="312"/>
              <w:rPr>
                <w:sz w:val="18"/>
              </w:rPr>
            </w:pPr>
            <w:r>
              <w:rPr>
                <w:rFonts w:hint="eastAsia"/>
                <w:sz w:val="18"/>
              </w:rPr>
              <w:t>指标</w:t>
            </w:r>
            <w:r>
              <w:rPr>
                <w:sz w:val="18"/>
              </w:rPr>
              <w:t>总分</w:t>
            </w:r>
          </w:p>
        </w:tc>
        <w:tc>
          <w:tcPr>
            <w:tcW w:w="1435" w:type="dxa"/>
          </w:tcPr>
          <w:p>
            <w:pPr>
              <w:pStyle w:val="49"/>
              <w:spacing w:before="312" w:after="312"/>
              <w:ind w:firstLine="270" w:firstLineChars="150"/>
              <w:rPr>
                <w:sz w:val="18"/>
              </w:rPr>
            </w:pPr>
            <w:r>
              <w:rPr>
                <w:rFonts w:hint="eastAsia"/>
                <w:sz w:val="18"/>
              </w:rPr>
              <w:t>标准分</w:t>
            </w:r>
          </w:p>
        </w:tc>
        <w:tc>
          <w:tcPr>
            <w:tcW w:w="1116" w:type="dxa"/>
          </w:tcPr>
          <w:p>
            <w:pPr>
              <w:pStyle w:val="49"/>
              <w:spacing w:before="312" w:after="312"/>
              <w:ind w:firstLine="0" w:firstLineChars="0"/>
              <w:jc w:val="center"/>
              <w:rPr>
                <w:sz w:val="18"/>
              </w:rPr>
            </w:pPr>
            <w:r>
              <w:rPr>
                <w:rFonts w:hint="eastAsia"/>
                <w:sz w:val="18"/>
              </w:rPr>
              <w:t>评估等级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rPr>
                <w:sz w:val="18"/>
              </w:rPr>
            </w:pPr>
            <w:r>
              <w:rPr>
                <w:rFonts w:hint="eastAsia"/>
                <w:sz w:val="18"/>
              </w:rPr>
              <w:t>社会团体、社会服务机构、基金会、行业协会评估</w:t>
            </w:r>
          </w:p>
        </w:tc>
        <w:tc>
          <w:tcPr>
            <w:tcW w:w="1701" w:type="dxa"/>
          </w:tcPr>
          <w:p>
            <w:pPr>
              <w:pStyle w:val="49"/>
              <w:spacing w:before="312" w:after="312"/>
              <w:rPr>
                <w:sz w:val="18"/>
              </w:rPr>
            </w:pPr>
            <w:r>
              <w:rPr>
                <w:rFonts w:hint="eastAsia"/>
                <w:sz w:val="18"/>
              </w:rPr>
              <w:t>0分</w:t>
            </w:r>
            <w:r>
              <w:rPr>
                <w:sz w:val="18"/>
              </w:rPr>
              <w:t>-250</w:t>
            </w:r>
          </w:p>
        </w:tc>
        <w:tc>
          <w:tcPr>
            <w:tcW w:w="1435" w:type="dxa"/>
          </w:tcPr>
          <w:p>
            <w:pPr>
              <w:pStyle w:val="49"/>
              <w:spacing w:before="312" w:after="312"/>
              <w:ind w:firstLine="90" w:firstLineChars="50"/>
              <w:rPr>
                <w:sz w:val="18"/>
              </w:rPr>
            </w:pPr>
            <w:r>
              <w:rPr>
                <w:rFonts w:hint="eastAsia"/>
                <w:sz w:val="18"/>
              </w:rPr>
              <w:t>0分</w:t>
            </w:r>
            <w:r>
              <w:rPr>
                <w:sz w:val="18"/>
              </w:rPr>
              <w:t>—50</w:t>
            </w:r>
            <w:r>
              <w:rPr>
                <w:rFonts w:hint="eastAsia"/>
                <w:sz w:val="18"/>
              </w:rPr>
              <w:t>分</w:t>
            </w:r>
          </w:p>
        </w:tc>
        <w:tc>
          <w:tcPr>
            <w:tcW w:w="1116" w:type="dxa"/>
          </w:tcPr>
          <w:p>
            <w:pPr>
              <w:pStyle w:val="49"/>
              <w:spacing w:before="312" w:after="312"/>
              <w:ind w:firstLine="0" w:firstLineChars="0"/>
              <w:jc w:val="center"/>
              <w:rPr>
                <w:sz w:val="18"/>
              </w:rPr>
            </w:pPr>
            <w:r>
              <w:rPr>
                <w:sz w:val="18"/>
              </w:rPr>
              <w:t xml:space="preserve"> </w:t>
            </w:r>
            <w:r>
              <w:rPr>
                <w:rFonts w:hint="eastAsia"/>
                <w:sz w:val="18"/>
              </w:rPr>
              <w:t>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2" w:type="dxa"/>
          </w:tcPr>
          <w:p>
            <w:pPr>
              <w:pStyle w:val="49"/>
              <w:spacing w:before="312" w:after="312"/>
              <w:ind w:firstLine="0" w:firstLineChars="0"/>
              <w:jc w:val="left"/>
              <w:rPr>
                <w:sz w:val="18"/>
              </w:rPr>
            </w:pPr>
            <w:r>
              <w:rPr>
                <w:rFonts w:hint="eastAsia"/>
                <w:sz w:val="18"/>
              </w:rPr>
              <w:t>社会</w:t>
            </w:r>
            <w:r>
              <w:rPr>
                <w:sz w:val="18"/>
              </w:rPr>
              <w:t>团体、社会服务机构、基金</w:t>
            </w:r>
            <w:r>
              <w:rPr>
                <w:rFonts w:hint="eastAsia"/>
                <w:sz w:val="18"/>
              </w:rPr>
              <w:t>会</w:t>
            </w:r>
            <w:r>
              <w:rPr>
                <w:sz w:val="18"/>
              </w:rPr>
              <w:t>、行业协会</w:t>
            </w:r>
            <w:r>
              <w:rPr>
                <w:rFonts w:hint="eastAsia"/>
                <w:sz w:val="18"/>
              </w:rPr>
              <w:t>评估</w:t>
            </w:r>
          </w:p>
        </w:tc>
        <w:tc>
          <w:tcPr>
            <w:tcW w:w="1701" w:type="dxa"/>
          </w:tcPr>
          <w:p>
            <w:pPr>
              <w:pStyle w:val="49"/>
              <w:spacing w:before="312" w:after="312"/>
              <w:jc w:val="left"/>
              <w:rPr>
                <w:sz w:val="18"/>
              </w:rPr>
            </w:pPr>
            <w:r>
              <w:rPr>
                <w:rFonts w:hint="eastAsia"/>
                <w:sz w:val="18"/>
              </w:rPr>
              <w:t>25</w:t>
            </w:r>
            <w:r>
              <w:rPr>
                <w:sz w:val="18"/>
              </w:rPr>
              <w:t>5-300</w:t>
            </w:r>
          </w:p>
        </w:tc>
        <w:tc>
          <w:tcPr>
            <w:tcW w:w="1435" w:type="dxa"/>
          </w:tcPr>
          <w:p>
            <w:pPr>
              <w:pStyle w:val="49"/>
              <w:spacing w:before="312" w:after="312"/>
              <w:ind w:firstLine="0" w:firstLineChars="0"/>
              <w:rPr>
                <w:sz w:val="18"/>
              </w:rPr>
            </w:pPr>
            <w:r>
              <w:rPr>
                <w:rFonts w:hint="eastAsia"/>
                <w:sz w:val="18"/>
              </w:rPr>
              <w:t>5</w:t>
            </w:r>
            <w:r>
              <w:rPr>
                <w:sz w:val="18"/>
              </w:rPr>
              <w:t>1</w:t>
            </w:r>
            <w:r>
              <w:rPr>
                <w:rFonts w:hint="eastAsia"/>
                <w:sz w:val="18"/>
              </w:rPr>
              <w:t>分—60分</w:t>
            </w:r>
          </w:p>
        </w:tc>
        <w:tc>
          <w:tcPr>
            <w:tcW w:w="1116" w:type="dxa"/>
          </w:tcPr>
          <w:p>
            <w:pPr>
              <w:pStyle w:val="49"/>
              <w:spacing w:before="312" w:after="312"/>
              <w:rPr>
                <w:sz w:val="18"/>
              </w:rPr>
            </w:pPr>
            <w:r>
              <w:rPr>
                <w:rFonts w:hint="eastAsia"/>
                <w:sz w:val="18"/>
              </w:rPr>
              <w:t>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rFonts w:hint="eastAsia"/>
                <w:sz w:val="18"/>
              </w:rPr>
              <w:t>30</w:t>
            </w:r>
            <w:r>
              <w:rPr>
                <w:sz w:val="18"/>
              </w:rPr>
              <w:t>5-350</w:t>
            </w:r>
          </w:p>
        </w:tc>
        <w:tc>
          <w:tcPr>
            <w:tcW w:w="1435" w:type="dxa"/>
          </w:tcPr>
          <w:p>
            <w:pPr>
              <w:pStyle w:val="49"/>
              <w:spacing w:before="312" w:after="312"/>
              <w:ind w:firstLine="0" w:firstLineChars="0"/>
              <w:rPr>
                <w:sz w:val="18"/>
              </w:rPr>
            </w:pPr>
            <w:r>
              <w:rPr>
                <w:rFonts w:hint="eastAsia"/>
                <w:sz w:val="18"/>
              </w:rPr>
              <w:t>6</w:t>
            </w:r>
            <w:r>
              <w:rPr>
                <w:sz w:val="18"/>
              </w:rPr>
              <w:t>1</w:t>
            </w:r>
            <w:r>
              <w:rPr>
                <w:rFonts w:hint="eastAsia"/>
                <w:sz w:val="18"/>
              </w:rPr>
              <w:t>分—70分</w:t>
            </w:r>
          </w:p>
        </w:tc>
        <w:tc>
          <w:tcPr>
            <w:tcW w:w="1116" w:type="dxa"/>
          </w:tcPr>
          <w:p>
            <w:pPr>
              <w:pStyle w:val="49"/>
              <w:spacing w:before="312" w:after="312"/>
              <w:ind w:firstLine="270" w:firstLineChars="150"/>
              <w:rPr>
                <w:sz w:val="18"/>
              </w:rPr>
            </w:pPr>
            <w:r>
              <w:rPr>
                <w:rFonts w:hint="eastAsia"/>
                <w:sz w:val="18"/>
              </w:rPr>
              <w:t xml:space="preserve">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rFonts w:hint="eastAsia"/>
                <w:sz w:val="18"/>
              </w:rPr>
              <w:t>35</w:t>
            </w:r>
            <w:r>
              <w:rPr>
                <w:sz w:val="18"/>
              </w:rPr>
              <w:t>5-400</w:t>
            </w:r>
          </w:p>
        </w:tc>
        <w:tc>
          <w:tcPr>
            <w:tcW w:w="1435" w:type="dxa"/>
          </w:tcPr>
          <w:p>
            <w:pPr>
              <w:pStyle w:val="49"/>
              <w:spacing w:before="312" w:after="312"/>
              <w:ind w:firstLine="0" w:firstLineChars="0"/>
              <w:rPr>
                <w:sz w:val="18"/>
              </w:rPr>
            </w:pPr>
            <w:r>
              <w:rPr>
                <w:rFonts w:hint="eastAsia"/>
                <w:sz w:val="18"/>
              </w:rPr>
              <w:t>7</w:t>
            </w:r>
            <w:r>
              <w:rPr>
                <w:sz w:val="18"/>
              </w:rPr>
              <w:t>1</w:t>
            </w:r>
            <w:r>
              <w:rPr>
                <w:rFonts w:hint="eastAsia"/>
                <w:sz w:val="18"/>
              </w:rPr>
              <w:t>分—80分</w:t>
            </w:r>
          </w:p>
        </w:tc>
        <w:tc>
          <w:tcPr>
            <w:tcW w:w="1116" w:type="dxa"/>
          </w:tcPr>
          <w:p>
            <w:pPr>
              <w:pStyle w:val="49"/>
              <w:spacing w:before="312" w:after="312"/>
              <w:ind w:firstLine="270" w:firstLineChars="150"/>
              <w:rPr>
                <w:sz w:val="18"/>
              </w:rPr>
            </w:pPr>
            <w:r>
              <w:rPr>
                <w:rFonts w:hint="eastAsia"/>
                <w:sz w:val="18"/>
              </w:rPr>
              <w:t xml:space="preserve">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rFonts w:hint="eastAsia"/>
                <w:sz w:val="18"/>
              </w:rPr>
              <w:t>40</w:t>
            </w:r>
            <w:r>
              <w:rPr>
                <w:sz w:val="18"/>
              </w:rPr>
              <w:t>5-450</w:t>
            </w:r>
          </w:p>
        </w:tc>
        <w:tc>
          <w:tcPr>
            <w:tcW w:w="1435" w:type="dxa"/>
          </w:tcPr>
          <w:p>
            <w:pPr>
              <w:pStyle w:val="49"/>
              <w:spacing w:before="312" w:after="312"/>
              <w:ind w:firstLine="0" w:firstLineChars="0"/>
              <w:rPr>
                <w:sz w:val="18"/>
              </w:rPr>
            </w:pPr>
            <w:r>
              <w:rPr>
                <w:rFonts w:hint="eastAsia"/>
                <w:sz w:val="18"/>
              </w:rPr>
              <w:t>8</w:t>
            </w:r>
            <w:r>
              <w:rPr>
                <w:sz w:val="18"/>
              </w:rPr>
              <w:t>1</w:t>
            </w:r>
            <w:r>
              <w:rPr>
                <w:rFonts w:hint="eastAsia"/>
                <w:sz w:val="18"/>
              </w:rPr>
              <w:t>分—90分</w:t>
            </w:r>
          </w:p>
        </w:tc>
        <w:tc>
          <w:tcPr>
            <w:tcW w:w="1116" w:type="dxa"/>
          </w:tcPr>
          <w:p>
            <w:pPr>
              <w:pStyle w:val="49"/>
              <w:spacing w:before="312" w:after="312"/>
              <w:ind w:firstLine="270" w:firstLineChars="150"/>
              <w:rPr>
                <w:sz w:val="18"/>
              </w:rPr>
            </w:pPr>
            <w:r>
              <w:rPr>
                <w:rFonts w:hint="eastAsia"/>
                <w:sz w:val="18"/>
              </w:rPr>
              <w:t xml:space="preserve"> 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sz w:val="18"/>
              </w:rPr>
              <w:t>455-</w:t>
            </w:r>
            <w:r>
              <w:rPr>
                <w:rFonts w:hint="eastAsia"/>
                <w:sz w:val="18"/>
              </w:rPr>
              <w:t>5</w:t>
            </w:r>
            <w:r>
              <w:rPr>
                <w:sz w:val="18"/>
              </w:rPr>
              <w:t>00</w:t>
            </w:r>
          </w:p>
        </w:tc>
        <w:tc>
          <w:tcPr>
            <w:tcW w:w="1435" w:type="dxa"/>
          </w:tcPr>
          <w:p>
            <w:pPr>
              <w:pStyle w:val="49"/>
              <w:spacing w:before="312" w:after="312"/>
              <w:ind w:firstLine="0" w:firstLineChars="0"/>
              <w:rPr>
                <w:sz w:val="18"/>
              </w:rPr>
            </w:pPr>
            <w:r>
              <w:rPr>
                <w:rFonts w:hint="eastAsia"/>
                <w:sz w:val="18"/>
              </w:rPr>
              <w:t>9</w:t>
            </w:r>
            <w:r>
              <w:rPr>
                <w:sz w:val="18"/>
              </w:rPr>
              <w:t>1</w:t>
            </w:r>
            <w:r>
              <w:rPr>
                <w:rFonts w:hint="eastAsia"/>
                <w:sz w:val="18"/>
              </w:rPr>
              <w:t>分—100分</w:t>
            </w:r>
          </w:p>
        </w:tc>
        <w:tc>
          <w:tcPr>
            <w:tcW w:w="1116" w:type="dxa"/>
          </w:tcPr>
          <w:p>
            <w:pPr>
              <w:pStyle w:val="49"/>
              <w:spacing w:before="312" w:after="312"/>
              <w:rPr>
                <w:sz w:val="18"/>
              </w:rPr>
            </w:pPr>
            <w:r>
              <w:rPr>
                <w:rFonts w:hint="eastAsia"/>
                <w:sz w:val="18"/>
              </w:rPr>
              <w:t>5A</w:t>
            </w:r>
          </w:p>
        </w:tc>
      </w:tr>
    </w:tbl>
    <w:p>
      <w:pPr>
        <w:pStyle w:val="157"/>
        <w:widowControl/>
        <w:numPr>
          <w:ilvl w:val="0"/>
          <w:numId w:val="18"/>
        </w:numPr>
        <w:spacing w:beforeLines="100" w:afterLines="100"/>
        <w:ind w:firstLineChars="0"/>
        <w:outlineLvl w:val="1"/>
        <w:rPr>
          <w:rFonts w:ascii="黑体" w:eastAsia="黑体"/>
          <w:kern w:val="0"/>
          <w:szCs w:val="21"/>
        </w:rPr>
      </w:pPr>
      <w:bookmarkStart w:id="76" w:name="_Toc478734629"/>
      <w:r>
        <w:rPr>
          <w:rFonts w:hint="eastAsia" w:ascii="黑体" w:eastAsia="黑体"/>
          <w:kern w:val="0"/>
          <w:szCs w:val="21"/>
        </w:rPr>
        <w:t>社会团体评估指标</w:t>
      </w:r>
      <w:bookmarkEnd w:id="76"/>
    </w:p>
    <w:p>
      <w:pPr>
        <w:pStyle w:val="157"/>
        <w:widowControl/>
        <w:spacing w:beforeLines="100" w:afterLines="100"/>
        <w:ind w:firstLine="0" w:firstLineChars="0"/>
        <w:outlineLvl w:val="1"/>
        <w:rPr>
          <w:rFonts w:ascii="黑体" w:eastAsia="黑体"/>
          <w:vanish/>
          <w:kern w:val="0"/>
          <w:szCs w:val="20"/>
        </w:rPr>
      </w:pPr>
      <w:bookmarkStart w:id="77" w:name="_Toc474331558"/>
      <w:bookmarkEnd w:id="77"/>
      <w:bookmarkStart w:id="78" w:name="_Toc478717690"/>
      <w:bookmarkEnd w:id="78"/>
      <w:bookmarkStart w:id="79" w:name="_Toc478734630"/>
      <w:bookmarkEnd w:id="79"/>
    </w:p>
    <w:p>
      <w:pPr>
        <w:pStyle w:val="47"/>
        <w:numPr>
          <w:ilvl w:val="1"/>
          <w:numId w:val="0"/>
        </w:numPr>
        <w:spacing w:before="156" w:after="156"/>
      </w:pPr>
      <w:bookmarkStart w:id="80" w:name="_Toc478734631"/>
      <w:r>
        <w:rPr>
          <w:rFonts w:hint="eastAsia"/>
        </w:rPr>
        <w:t>依法登记和接受监督</w:t>
      </w:r>
      <w:bookmarkEnd w:id="80"/>
    </w:p>
    <w:p>
      <w:pPr>
        <w:pStyle w:val="46"/>
        <w:spacing w:before="156" w:after="156"/>
        <w:rPr>
          <w:rFonts w:ascii="宋体" w:hAnsi="宋体" w:eastAsia="宋体"/>
        </w:rPr>
      </w:pPr>
      <w:r>
        <w:rPr>
          <w:rFonts w:hint="eastAsia" w:ascii="宋体" w:hAnsi="宋体" w:eastAsia="宋体"/>
        </w:rPr>
        <w:t>社会团体须依法登记。社会团体登记后应依法办理税务登记和纳税。</w:t>
      </w:r>
    </w:p>
    <w:p>
      <w:pPr>
        <w:pStyle w:val="46"/>
        <w:spacing w:before="156" w:after="156"/>
        <w:rPr>
          <w:rFonts w:ascii="宋体" w:hAnsi="宋体" w:eastAsia="宋体" w:cs="宋体"/>
        </w:rPr>
      </w:pPr>
      <w:r>
        <w:rPr>
          <w:rFonts w:hint="eastAsia" w:ascii="宋体" w:hAnsi="宋体" w:eastAsia="宋体"/>
        </w:rPr>
        <w:t>社会团体</w:t>
      </w:r>
      <w:r>
        <w:rPr>
          <w:rFonts w:hint="eastAsia" w:ascii="宋体" w:hAnsi="宋体" w:eastAsia="宋体" w:cs="宋体"/>
        </w:rPr>
        <w:t>应有固定的住所，产权或租赁手续齐全，满足办公需要。社团团体</w:t>
      </w:r>
      <w:r>
        <w:rPr>
          <w:rFonts w:ascii="宋体" w:hAnsi="宋体" w:eastAsia="宋体" w:cs="宋体"/>
        </w:rPr>
        <w:t>应</w:t>
      </w:r>
      <w:r>
        <w:rPr>
          <w:rFonts w:hint="eastAsia" w:ascii="宋体" w:hAnsi="宋体" w:eastAsia="宋体" w:cs="宋体"/>
        </w:rPr>
        <w:t>具备相应的办公设备，且办公场所应悬挂单位名称牌匾。</w:t>
      </w:r>
    </w:p>
    <w:p>
      <w:pPr>
        <w:pStyle w:val="46"/>
        <w:spacing w:before="156" w:after="156"/>
        <w:rPr>
          <w:rFonts w:ascii="宋体" w:hAnsi="宋体" w:eastAsia="宋体" w:cs="宋体"/>
        </w:rPr>
      </w:pPr>
      <w:r>
        <w:rPr>
          <w:rFonts w:hint="eastAsia" w:ascii="宋体" w:hAnsi="宋体" w:eastAsia="宋体"/>
        </w:rPr>
        <w:t>社会团体</w:t>
      </w:r>
      <w:r>
        <w:rPr>
          <w:rFonts w:hint="eastAsia" w:ascii="宋体" w:hAnsi="宋体" w:eastAsia="宋体" w:cs="宋体"/>
        </w:rPr>
        <w:t>应按照会员（代表）大会通过并报登记管理机关核准的章程开展工作。</w:t>
      </w:r>
    </w:p>
    <w:p>
      <w:pPr>
        <w:pStyle w:val="46"/>
        <w:spacing w:before="156" w:after="156"/>
        <w:rPr>
          <w:rFonts w:ascii="宋体" w:hAnsi="宋体" w:eastAsia="宋体" w:cs="宋体"/>
        </w:rPr>
      </w:pPr>
      <w:r>
        <w:rPr>
          <w:rFonts w:hint="eastAsia" w:ascii="宋体" w:hAnsi="宋体" w:eastAsia="宋体"/>
        </w:rPr>
        <w:t>社会团体</w:t>
      </w:r>
      <w:r>
        <w:rPr>
          <w:rFonts w:hint="eastAsia" w:ascii="宋体" w:hAnsi="宋体" w:eastAsia="宋体" w:cs="宋体"/>
        </w:rPr>
        <w:t>在政府相关职能部门无违法行为记录。</w:t>
      </w:r>
    </w:p>
    <w:p>
      <w:pPr>
        <w:pStyle w:val="46"/>
        <w:spacing w:before="156" w:after="156"/>
        <w:rPr>
          <w:rFonts w:ascii="宋体" w:hAnsi="宋体" w:eastAsia="宋体"/>
        </w:rPr>
      </w:pPr>
      <w:r>
        <w:rPr>
          <w:rFonts w:hint="eastAsia" w:ascii="宋体" w:hAnsi="宋体" w:eastAsia="宋体"/>
        </w:rPr>
        <w:t>社会团体在登记事项发生变更时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日内向登记机关申请变更登记。</w:t>
      </w:r>
    </w:p>
    <w:p>
      <w:pPr>
        <w:pStyle w:val="46"/>
        <w:spacing w:before="156" w:after="156"/>
        <w:rPr>
          <w:rFonts w:ascii="宋体" w:hAnsi="宋体" w:eastAsia="宋体"/>
        </w:rPr>
      </w:pPr>
      <w:r>
        <w:rPr>
          <w:rFonts w:hint="eastAsia" w:ascii="宋体" w:hAnsi="宋体" w:eastAsia="宋体"/>
        </w:rPr>
        <w:t>社会团体不在登记管理机关的异常活动名录中。</w:t>
      </w:r>
    </w:p>
    <w:p>
      <w:pPr>
        <w:pStyle w:val="46"/>
        <w:spacing w:before="156" w:after="156"/>
        <w:rPr>
          <w:rFonts w:ascii="宋体" w:hAnsi="宋体" w:eastAsia="宋体"/>
        </w:rPr>
      </w:pPr>
      <w:r>
        <w:rPr>
          <w:rFonts w:hint="eastAsia" w:ascii="宋体" w:hAnsi="宋体" w:eastAsia="宋体"/>
        </w:rPr>
        <w:t>社会团体的负责人应在任职前公示。有以下情形的</w:t>
      </w:r>
      <w:r>
        <w:rPr>
          <w:rFonts w:ascii="宋体" w:hAnsi="宋体" w:eastAsia="宋体"/>
        </w:rPr>
        <w:t>不</w:t>
      </w:r>
      <w:r>
        <w:rPr>
          <w:rFonts w:hint="eastAsia" w:ascii="宋体" w:hAnsi="宋体" w:eastAsia="宋体"/>
        </w:rPr>
        <w:t>得</w:t>
      </w:r>
      <w:r>
        <w:rPr>
          <w:rFonts w:ascii="宋体" w:hAnsi="宋体" w:eastAsia="宋体"/>
        </w:rPr>
        <w:t>担任</w:t>
      </w:r>
      <w:r>
        <w:rPr>
          <w:rFonts w:hint="eastAsia" w:ascii="宋体" w:hAnsi="宋体" w:eastAsia="宋体"/>
        </w:rPr>
        <w:t>社会团体的法定代表人及负责人：</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社会团体的法定代表人不应同时担任其他社会团体的法定代表人。</w:t>
      </w:r>
    </w:p>
    <w:p>
      <w:pPr>
        <w:pStyle w:val="46"/>
        <w:spacing w:before="156" w:after="156"/>
        <w:rPr>
          <w:rFonts w:ascii="宋体" w:hAnsi="宋体" w:eastAsia="宋体"/>
        </w:rPr>
      </w:pPr>
      <w:r>
        <w:rPr>
          <w:rFonts w:hint="eastAsia" w:ascii="宋体" w:hAnsi="宋体" w:eastAsia="宋体"/>
        </w:rPr>
        <w:t>社会团体的负责人应参与登记管理机关组织的培训活动。</w:t>
      </w:r>
    </w:p>
    <w:p>
      <w:pPr>
        <w:pStyle w:val="49"/>
      </w:pPr>
    </w:p>
    <w:p>
      <w:pPr>
        <w:pStyle w:val="47"/>
        <w:numPr>
          <w:ilvl w:val="1"/>
          <w:numId w:val="0"/>
        </w:numPr>
        <w:spacing w:before="156" w:after="156"/>
      </w:pPr>
      <w:bookmarkStart w:id="81" w:name="_Toc478734632"/>
      <w:r>
        <w:rPr>
          <w:rFonts w:hint="eastAsia"/>
        </w:rPr>
        <w:t>内部治理规范</w:t>
      </w:r>
      <w:bookmarkEnd w:id="81"/>
    </w:p>
    <w:p>
      <w:pPr>
        <w:pStyle w:val="46"/>
        <w:spacing w:before="156" w:after="156"/>
        <w:rPr>
          <w:rFonts w:ascii="宋体" w:hAnsi="宋体" w:eastAsia="宋体"/>
        </w:rPr>
      </w:pPr>
      <w:r>
        <w:rPr>
          <w:rFonts w:hint="eastAsia" w:ascii="宋体" w:hAnsi="宋体" w:eastAsia="宋体"/>
        </w:rPr>
        <w:t>社会团体的法人治理结构应合理，应依照法规规章、规范性</w:t>
      </w:r>
      <w:r>
        <w:rPr>
          <w:rFonts w:ascii="宋体" w:hAnsi="宋体" w:eastAsia="宋体"/>
        </w:rPr>
        <w:t>文件、</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社会团体应按照法规规章、</w:t>
      </w:r>
      <w:r>
        <w:rPr>
          <w:rFonts w:ascii="宋体" w:hAnsi="宋体" w:eastAsia="宋体"/>
        </w:rPr>
        <w:t>规范性文件和</w:t>
      </w:r>
      <w:r>
        <w:rPr>
          <w:rFonts w:hint="eastAsia" w:ascii="宋体" w:hAnsi="宋体" w:eastAsia="宋体"/>
        </w:rPr>
        <w:t>章程规定的时限、条件和程序召开会员代表</w:t>
      </w:r>
      <w:r>
        <w:rPr>
          <w:rFonts w:ascii="宋体" w:hAnsi="宋体" w:eastAsia="宋体"/>
        </w:rPr>
        <w:t>大会</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社会团体应按照法规规章、规范性</w:t>
      </w:r>
      <w:r>
        <w:rPr>
          <w:rFonts w:ascii="宋体" w:hAnsi="宋体" w:eastAsia="宋体"/>
        </w:rPr>
        <w:t>文件</w:t>
      </w:r>
      <w:r>
        <w:rPr>
          <w:rFonts w:hint="eastAsia" w:ascii="宋体" w:hAnsi="宋体" w:eastAsia="宋体"/>
        </w:rPr>
        <w:t>和章程规定设立理事会。按照法规规章、</w:t>
      </w:r>
      <w:r>
        <w:rPr>
          <w:rFonts w:ascii="宋体" w:hAnsi="宋体" w:eastAsia="宋体"/>
        </w:rPr>
        <w:t>规范性文件和</w:t>
      </w:r>
      <w:r>
        <w:rPr>
          <w:rFonts w:hint="eastAsia" w:ascii="宋体" w:hAnsi="宋体" w:eastAsia="宋体"/>
        </w:rPr>
        <w:t>章程规定的时限、条件和程序召开理事会。理事会发挥作用良好。</w:t>
      </w:r>
    </w:p>
    <w:p>
      <w:pPr>
        <w:pStyle w:val="46"/>
        <w:spacing w:before="156" w:after="156"/>
        <w:rPr>
          <w:rFonts w:ascii="宋体" w:hAnsi="宋体" w:eastAsia="宋体"/>
        </w:rPr>
      </w:pPr>
      <w:r>
        <w:rPr>
          <w:rFonts w:hint="eastAsia" w:ascii="宋体" w:hAnsi="宋体" w:eastAsia="宋体"/>
        </w:rPr>
        <w:t>社会团体应按照法规规章、规范性</w:t>
      </w:r>
      <w:r>
        <w:rPr>
          <w:rFonts w:ascii="宋体" w:hAnsi="宋体" w:eastAsia="宋体"/>
        </w:rPr>
        <w:t>文件</w:t>
      </w:r>
      <w:r>
        <w:rPr>
          <w:rFonts w:hint="eastAsia" w:ascii="宋体" w:hAnsi="宋体" w:eastAsia="宋体"/>
        </w:rPr>
        <w:t>和章程规定设立监事会。按照法规规章、</w:t>
      </w:r>
      <w:r>
        <w:rPr>
          <w:rFonts w:ascii="宋体" w:hAnsi="宋体" w:eastAsia="宋体"/>
        </w:rPr>
        <w:t>规范性文件</w:t>
      </w:r>
      <w:r>
        <w:rPr>
          <w:rFonts w:hint="eastAsia" w:ascii="宋体" w:hAnsi="宋体" w:eastAsia="宋体"/>
        </w:rPr>
        <w:t>和章程规定的时限、条件和程序召开监事会。监事会</w:t>
      </w:r>
      <w:r>
        <w:rPr>
          <w:rFonts w:ascii="宋体" w:hAnsi="宋体" w:eastAsia="宋体"/>
        </w:rPr>
        <w:t>、</w:t>
      </w:r>
      <w:r>
        <w:rPr>
          <w:rFonts w:hint="eastAsia" w:ascii="宋体" w:hAnsi="宋体" w:eastAsia="宋体"/>
        </w:rPr>
        <w:t>监事履行</w:t>
      </w:r>
      <w:r>
        <w:rPr>
          <w:rFonts w:ascii="宋体" w:hAnsi="宋体" w:eastAsia="宋体"/>
        </w:rPr>
        <w:t>职责</w:t>
      </w:r>
      <w:r>
        <w:rPr>
          <w:rFonts w:hint="eastAsia" w:ascii="宋体" w:hAnsi="宋体" w:eastAsia="宋体"/>
        </w:rPr>
        <w:t>并</w:t>
      </w:r>
      <w:r>
        <w:rPr>
          <w:rFonts w:ascii="宋体" w:hAnsi="宋体" w:eastAsia="宋体"/>
        </w:rPr>
        <w:t>发挥作用</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建立健全内部监督机制，落实民主选举、民主决策和民主管理。</w:t>
      </w:r>
    </w:p>
    <w:p>
      <w:pPr>
        <w:pStyle w:val="46"/>
        <w:spacing w:before="156" w:after="156"/>
        <w:rPr>
          <w:rFonts w:ascii="宋体" w:hAnsi="宋体" w:eastAsia="宋体"/>
        </w:rPr>
      </w:pPr>
      <w:r>
        <w:rPr>
          <w:rFonts w:hint="eastAsia" w:ascii="宋体" w:hAnsi="宋体" w:eastAsia="宋体"/>
        </w:rPr>
        <w:t>社会团体理事长</w:t>
      </w:r>
      <w:r>
        <w:rPr>
          <w:rFonts w:ascii="宋体" w:hAnsi="宋体" w:eastAsia="宋体"/>
        </w:rPr>
        <w:t>(</w:t>
      </w:r>
      <w:r>
        <w:rPr>
          <w:rFonts w:hint="eastAsia" w:ascii="宋体" w:hAnsi="宋体" w:eastAsia="宋体"/>
        </w:rPr>
        <w:t>会长</w:t>
      </w:r>
      <w:r>
        <w:rPr>
          <w:rFonts w:ascii="宋体" w:hAnsi="宋体" w:eastAsia="宋体"/>
        </w:rPr>
        <w:t>)</w:t>
      </w:r>
      <w:r>
        <w:rPr>
          <w:rFonts w:hint="eastAsia" w:ascii="宋体" w:hAnsi="宋体" w:eastAsia="宋体"/>
        </w:rPr>
        <w:t>、副理事长</w:t>
      </w:r>
      <w:r>
        <w:rPr>
          <w:rFonts w:ascii="宋体" w:hAnsi="宋体" w:eastAsia="宋体"/>
        </w:rPr>
        <w:t>(</w:t>
      </w:r>
      <w:r>
        <w:rPr>
          <w:rFonts w:hint="eastAsia" w:ascii="宋体" w:hAnsi="宋体" w:eastAsia="宋体"/>
        </w:rPr>
        <w:t>副会长</w:t>
      </w:r>
      <w:r>
        <w:rPr>
          <w:rFonts w:ascii="宋体" w:hAnsi="宋体" w:eastAsia="宋体"/>
        </w:rPr>
        <w:t>)</w:t>
      </w:r>
      <w:r>
        <w:rPr>
          <w:rFonts w:hint="eastAsia" w:ascii="宋体" w:hAnsi="宋体" w:eastAsia="宋体"/>
        </w:rPr>
        <w:t>、秘书长的任职</w:t>
      </w:r>
      <w:r>
        <w:rPr>
          <w:rFonts w:ascii="宋体" w:hAnsi="宋体" w:eastAsia="宋体"/>
        </w:rPr>
        <w:t>条件、产生程序和职责履行符合章程规定。</w:t>
      </w:r>
    </w:p>
    <w:p>
      <w:pPr>
        <w:pStyle w:val="46"/>
        <w:spacing w:before="156" w:after="156"/>
        <w:rPr>
          <w:rFonts w:ascii="宋体" w:hAnsi="宋体" w:eastAsia="宋体"/>
        </w:rPr>
      </w:pPr>
      <w:r>
        <w:rPr>
          <w:rFonts w:hint="eastAsia" w:ascii="宋体" w:hAnsi="宋体" w:eastAsia="宋体"/>
        </w:rPr>
        <w:t>社会团体应按照有关规定建立、健全党组织（党支部、党总支或党委）,或通过孵化等方式筹建党组织,或工作人员和会员有加入党组织的渠道。党组织参与社会</w:t>
      </w:r>
      <w:r>
        <w:rPr>
          <w:rFonts w:ascii="宋体" w:hAnsi="宋体" w:eastAsia="宋体"/>
        </w:rPr>
        <w:t>团体重大问题</w:t>
      </w:r>
      <w:r>
        <w:rPr>
          <w:rFonts w:hint="eastAsia" w:ascii="宋体" w:hAnsi="宋体" w:eastAsia="宋体"/>
        </w:rPr>
        <w:t>的</w:t>
      </w:r>
      <w:r>
        <w:rPr>
          <w:rFonts w:ascii="宋体" w:hAnsi="宋体" w:eastAsia="宋体"/>
        </w:rPr>
        <w:t>决策。</w:t>
      </w:r>
    </w:p>
    <w:p>
      <w:pPr>
        <w:pStyle w:val="46"/>
        <w:spacing w:before="156" w:after="156"/>
        <w:rPr>
          <w:rFonts w:ascii="宋体" w:hAnsi="宋体" w:eastAsia="宋体"/>
        </w:rPr>
      </w:pPr>
      <w:r>
        <w:rPr>
          <w:rFonts w:hint="eastAsia" w:ascii="宋体" w:hAnsi="宋体" w:eastAsia="宋体"/>
        </w:rPr>
        <w:t>社会团体会员</w:t>
      </w:r>
      <w:r>
        <w:rPr>
          <w:rFonts w:ascii="宋体" w:hAnsi="宋体" w:eastAsia="宋体"/>
        </w:rPr>
        <w:t>(</w:t>
      </w:r>
      <w:r>
        <w:rPr>
          <w:rFonts w:hint="eastAsia" w:ascii="宋体" w:hAnsi="宋体" w:eastAsia="宋体"/>
        </w:rPr>
        <w:t>代表</w:t>
      </w:r>
      <w:r>
        <w:rPr>
          <w:rFonts w:ascii="宋体" w:hAnsi="宋体" w:eastAsia="宋体"/>
        </w:rPr>
        <w:t>)</w:t>
      </w:r>
      <w:r>
        <w:rPr>
          <w:rFonts w:hint="eastAsia" w:ascii="宋体" w:hAnsi="宋体" w:eastAsia="宋体"/>
        </w:rPr>
        <w:t>大会、理事会、监事会（监事）、</w:t>
      </w:r>
      <w:r>
        <w:rPr>
          <w:rFonts w:ascii="宋体" w:hAnsi="宋体" w:eastAsia="宋体"/>
        </w:rPr>
        <w:t>秘书</w:t>
      </w:r>
      <w:r>
        <w:rPr>
          <w:rFonts w:hint="eastAsia" w:ascii="宋体" w:hAnsi="宋体" w:eastAsia="宋体"/>
        </w:rPr>
        <w:t>处的职权和运行应符合章程的规定。</w:t>
      </w:r>
    </w:p>
    <w:p>
      <w:pPr>
        <w:pStyle w:val="46"/>
        <w:spacing w:before="156" w:after="156"/>
        <w:rPr>
          <w:rFonts w:ascii="宋体" w:hAnsi="宋体" w:eastAsia="宋体"/>
        </w:rPr>
      </w:pPr>
      <w:r>
        <w:rPr>
          <w:rFonts w:hint="eastAsia" w:ascii="宋体" w:hAnsi="宋体" w:eastAsia="宋体"/>
        </w:rPr>
        <w:t>社会团体应对分支机构、代表机构进行规范化管理。分支机构、代表机构在授权的范围内开展活动、发展会员。</w:t>
      </w:r>
    </w:p>
    <w:p>
      <w:pPr>
        <w:pStyle w:val="46"/>
        <w:spacing w:before="156" w:after="156"/>
        <w:rPr>
          <w:rFonts w:ascii="宋体" w:hAnsi="宋体" w:eastAsia="宋体"/>
        </w:rPr>
      </w:pPr>
      <w:r>
        <w:rPr>
          <w:rFonts w:hint="eastAsia" w:ascii="宋体" w:hAnsi="宋体" w:eastAsia="宋体"/>
        </w:rPr>
        <w:t>国家机关工作人员、按照有关规定不得担任社会团体领导职务的人员，不应在社团任职。社会团体的理事</w:t>
      </w:r>
      <w:r>
        <w:rPr>
          <w:rFonts w:ascii="宋体" w:hAnsi="宋体" w:eastAsia="宋体"/>
        </w:rPr>
        <w:t>长（</w:t>
      </w:r>
      <w:r>
        <w:rPr>
          <w:rFonts w:hint="eastAsia" w:ascii="宋体" w:hAnsi="宋体" w:eastAsia="宋体"/>
        </w:rPr>
        <w:t>会长）不得兼任秘书长。</w:t>
      </w:r>
    </w:p>
    <w:p>
      <w:pPr>
        <w:pStyle w:val="46"/>
        <w:spacing w:before="156" w:after="156"/>
        <w:rPr>
          <w:rFonts w:ascii="宋体" w:hAnsi="宋体" w:eastAsia="宋体"/>
        </w:rPr>
      </w:pPr>
      <w:r>
        <w:rPr>
          <w:rFonts w:hint="eastAsia" w:ascii="宋体" w:hAnsi="宋体" w:eastAsia="宋体"/>
        </w:rPr>
        <w:t>社会团体应有与业务活动相适应的专职工作人员。</w:t>
      </w:r>
    </w:p>
    <w:p>
      <w:pPr>
        <w:pStyle w:val="46"/>
        <w:spacing w:before="156" w:after="156"/>
        <w:rPr>
          <w:rFonts w:ascii="宋体" w:hAnsi="宋体" w:eastAsia="宋体"/>
        </w:rPr>
      </w:pPr>
      <w:r>
        <w:rPr>
          <w:rFonts w:hint="eastAsia" w:ascii="宋体" w:hAnsi="宋体" w:eastAsia="宋体"/>
        </w:rPr>
        <w:t>社会团体专职工作团队应保持稳定或持续增长。</w:t>
      </w:r>
    </w:p>
    <w:p>
      <w:pPr>
        <w:pStyle w:val="46"/>
        <w:spacing w:before="156" w:after="156"/>
        <w:rPr>
          <w:rFonts w:ascii="宋体" w:hAnsi="宋体" w:eastAsia="宋体"/>
        </w:rPr>
      </w:pPr>
      <w:r>
        <w:rPr>
          <w:rFonts w:hint="eastAsia" w:ascii="宋体" w:hAnsi="宋体" w:eastAsia="宋体"/>
        </w:rPr>
        <w:t>社</w:t>
      </w:r>
      <w:r>
        <w:rPr>
          <w:rFonts w:ascii="宋体" w:hAnsi="宋体" w:eastAsia="宋体"/>
        </w:rPr>
        <w:t>会</w:t>
      </w:r>
      <w:r>
        <w:rPr>
          <w:rFonts w:hint="eastAsia" w:ascii="宋体" w:hAnsi="宋体" w:eastAsia="宋体"/>
        </w:rPr>
        <w:t>团体</w:t>
      </w:r>
      <w:r>
        <w:rPr>
          <w:rFonts w:ascii="宋体" w:hAnsi="宋体" w:eastAsia="宋体"/>
        </w:rPr>
        <w:t>应</w:t>
      </w:r>
      <w:r>
        <w:rPr>
          <w:rFonts w:hint="eastAsia" w:ascii="宋体" w:hAnsi="宋体" w:eastAsia="宋体"/>
        </w:rPr>
        <w:t>制定并执行工作人员聘用、任职、薪酬和考核、奖惩制度。</w:t>
      </w:r>
    </w:p>
    <w:p>
      <w:pPr>
        <w:pStyle w:val="46"/>
        <w:spacing w:before="156" w:after="156"/>
        <w:rPr>
          <w:rFonts w:ascii="宋体" w:hAnsi="宋体" w:eastAsia="宋体"/>
        </w:rPr>
      </w:pPr>
      <w:r>
        <w:rPr>
          <w:rFonts w:hint="eastAsia" w:ascii="宋体" w:hAnsi="宋体" w:eastAsia="宋体"/>
        </w:rPr>
        <w:t>社会团体应建立并执行档案、证书和印章管理制度。</w:t>
      </w:r>
    </w:p>
    <w:p>
      <w:pPr>
        <w:pStyle w:val="46"/>
        <w:spacing w:before="156" w:after="156"/>
        <w:rPr>
          <w:rFonts w:ascii="宋体" w:hAnsi="宋体" w:eastAsia="宋体"/>
        </w:rPr>
      </w:pPr>
      <w:r>
        <w:rPr>
          <w:rFonts w:hint="eastAsia" w:ascii="宋体" w:hAnsi="宋体" w:eastAsia="宋体"/>
        </w:rPr>
        <w:t>社会团体应实行科学化管理手段。以完善和优化服务为目标，创新管理模式和服务模式。</w:t>
      </w:r>
    </w:p>
    <w:p>
      <w:pPr>
        <w:pStyle w:val="46"/>
        <w:spacing w:before="156" w:after="156"/>
        <w:rPr>
          <w:rFonts w:ascii="宋体" w:hAnsi="宋体" w:eastAsia="宋体"/>
        </w:rPr>
      </w:pPr>
      <w:r>
        <w:rPr>
          <w:rFonts w:hint="eastAsia" w:ascii="宋体" w:hAnsi="宋体" w:eastAsia="宋体"/>
        </w:rPr>
        <w:t>社会团体应加强自身诚信自律建设，应建立本</w:t>
      </w:r>
      <w:r>
        <w:rPr>
          <w:rFonts w:ascii="宋体" w:hAnsi="宋体" w:eastAsia="宋体"/>
        </w:rPr>
        <w:t>社会团体的</w:t>
      </w:r>
      <w:r>
        <w:rPr>
          <w:rFonts w:hint="eastAsia" w:ascii="宋体" w:hAnsi="宋体" w:eastAsia="宋体"/>
        </w:rPr>
        <w:t>诚信承诺制度。社会</w:t>
      </w:r>
      <w:r>
        <w:rPr>
          <w:rFonts w:ascii="宋体" w:hAnsi="宋体" w:eastAsia="宋体"/>
        </w:rPr>
        <w:t>团体</w:t>
      </w:r>
      <w:r>
        <w:rPr>
          <w:rFonts w:hint="eastAsia" w:ascii="宋体" w:hAnsi="宋体" w:eastAsia="宋体"/>
        </w:rPr>
        <w:t>应建立活动影响评估机制，对可能引发社会风险的行业内</w:t>
      </w:r>
      <w:r>
        <w:rPr>
          <w:rFonts w:ascii="宋体" w:hAnsi="宋体" w:eastAsia="宋体"/>
        </w:rPr>
        <w:t>的</w:t>
      </w:r>
      <w:r>
        <w:rPr>
          <w:rFonts w:hint="eastAsia" w:ascii="宋体" w:hAnsi="宋体" w:eastAsia="宋体"/>
        </w:rPr>
        <w:t>重要事项事先向政府有关部门报告。</w:t>
      </w:r>
    </w:p>
    <w:p>
      <w:pPr>
        <w:pStyle w:val="49"/>
      </w:pPr>
    </w:p>
    <w:p>
      <w:pPr>
        <w:pStyle w:val="47"/>
        <w:numPr>
          <w:ilvl w:val="1"/>
          <w:numId w:val="0"/>
        </w:numPr>
        <w:spacing w:before="156" w:after="156"/>
      </w:pPr>
      <w:bookmarkStart w:id="82" w:name="_Toc478734633"/>
      <w:r>
        <w:rPr>
          <w:rFonts w:hint="eastAsia"/>
        </w:rPr>
        <w:t>业务活动能力</w:t>
      </w:r>
      <w:bookmarkEnd w:id="82"/>
    </w:p>
    <w:p>
      <w:pPr>
        <w:pStyle w:val="46"/>
        <w:spacing w:before="156" w:after="156"/>
        <w:rPr>
          <w:rFonts w:ascii="宋体" w:hAnsi="宋体" w:eastAsia="宋体"/>
        </w:rPr>
      </w:pPr>
      <w:r>
        <w:rPr>
          <w:rFonts w:hint="eastAsia" w:ascii="宋体" w:hAnsi="宋体" w:eastAsia="宋体"/>
        </w:rPr>
        <w:t>社会团体应按照章程规定的宗旨和业务范围进行活动。</w:t>
      </w:r>
    </w:p>
    <w:p>
      <w:pPr>
        <w:pStyle w:val="46"/>
        <w:spacing w:before="156" w:after="156"/>
        <w:rPr>
          <w:rFonts w:ascii="宋体" w:hAnsi="宋体" w:eastAsia="宋体"/>
        </w:rPr>
      </w:pPr>
      <w:r>
        <w:rPr>
          <w:rFonts w:hint="eastAsia" w:ascii="宋体" w:hAnsi="宋体" w:eastAsia="宋体"/>
        </w:rPr>
        <w:t>社会团体应制定和实施中长期发展规划（</w:t>
      </w:r>
      <w:r>
        <w:rPr>
          <w:rFonts w:ascii="宋体" w:hAnsi="宋体" w:eastAsia="宋体"/>
        </w:rPr>
        <w:t>3</w:t>
      </w:r>
      <w:r>
        <w:rPr>
          <w:rFonts w:hint="eastAsia" w:ascii="宋体" w:hAnsi="宋体" w:eastAsia="宋体"/>
        </w:rPr>
        <w:t>年及以上），战略规划内容完整，落实执行。</w:t>
      </w:r>
    </w:p>
    <w:p>
      <w:pPr>
        <w:pStyle w:val="46"/>
        <w:spacing w:before="156" w:after="156"/>
        <w:rPr>
          <w:rFonts w:ascii="宋体" w:hAnsi="宋体" w:eastAsia="宋体"/>
        </w:rPr>
      </w:pPr>
      <w:r>
        <w:rPr>
          <w:rFonts w:hint="eastAsia" w:ascii="宋体" w:hAnsi="宋体" w:eastAsia="宋体"/>
        </w:rPr>
        <w:t>社会团体应根据会员（代表）大会、理事会的决议要求，完成年度业务工作计划，逐年提交年度工作报告。</w:t>
      </w:r>
    </w:p>
    <w:p>
      <w:pPr>
        <w:pStyle w:val="46"/>
        <w:spacing w:before="156" w:after="156"/>
        <w:rPr>
          <w:rFonts w:ascii="宋体" w:hAnsi="宋体" w:eastAsia="宋体"/>
        </w:rPr>
      </w:pPr>
      <w:r>
        <w:rPr>
          <w:rFonts w:hint="eastAsia" w:ascii="宋体" w:hAnsi="宋体" w:eastAsia="宋体"/>
        </w:rPr>
        <w:t>社会团体应对所开展的项目</w:t>
      </w:r>
      <w:r>
        <w:rPr>
          <w:rFonts w:ascii="宋体" w:hAnsi="宋体" w:eastAsia="宋体"/>
        </w:rPr>
        <w:t>和</w:t>
      </w:r>
      <w:r>
        <w:rPr>
          <w:rFonts w:hint="eastAsia" w:ascii="宋体" w:hAnsi="宋体" w:eastAsia="宋体"/>
        </w:rPr>
        <w:t>活动进行有序管理，保障可控</w:t>
      </w:r>
      <w:r>
        <w:rPr>
          <w:rFonts w:ascii="宋体" w:hAnsi="宋体" w:eastAsia="宋体"/>
        </w:rPr>
        <w:t>、规范和高效</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社会团体开展重大业务活动时，应根据有关规定以书面形式报告业务主管部门和登记管理机关审查批准或备案。</w:t>
      </w:r>
    </w:p>
    <w:p>
      <w:pPr>
        <w:pStyle w:val="46"/>
        <w:spacing w:before="156" w:after="156"/>
        <w:rPr>
          <w:rFonts w:ascii="宋体" w:hAnsi="宋体" w:eastAsia="宋体"/>
        </w:rPr>
      </w:pPr>
      <w:r>
        <w:rPr>
          <w:rFonts w:hint="eastAsia" w:ascii="宋体" w:hAnsi="宋体" w:eastAsia="宋体"/>
        </w:rPr>
        <w:t>社会团体应积极开展业务宣传推广活动，并有活动记录和总结。</w:t>
      </w:r>
    </w:p>
    <w:p>
      <w:pPr>
        <w:pStyle w:val="46"/>
        <w:spacing w:before="156" w:after="156"/>
        <w:rPr>
          <w:rFonts w:ascii="宋体" w:hAnsi="宋体" w:eastAsia="宋体"/>
        </w:rPr>
      </w:pPr>
      <w:r>
        <w:rPr>
          <w:rFonts w:hint="eastAsia" w:ascii="宋体" w:hAnsi="宋体" w:eastAsia="宋体"/>
        </w:rPr>
        <w:t>社会团体有获得政府资助或政府委托</w:t>
      </w:r>
      <w:r>
        <w:rPr>
          <w:rFonts w:ascii="宋体" w:hAnsi="宋体" w:eastAsia="宋体"/>
        </w:rPr>
        <w:t>项目</w:t>
      </w:r>
      <w:r>
        <w:rPr>
          <w:rFonts w:hint="eastAsia" w:ascii="宋体" w:hAnsi="宋体" w:eastAsia="宋体"/>
        </w:rPr>
        <w:t>及购买服务项目，项目</w:t>
      </w:r>
      <w:r>
        <w:rPr>
          <w:rFonts w:ascii="宋体" w:hAnsi="宋体" w:eastAsia="宋体"/>
        </w:rPr>
        <w:t>执行</w:t>
      </w:r>
      <w:r>
        <w:rPr>
          <w:rFonts w:hint="eastAsia" w:ascii="宋体" w:hAnsi="宋体" w:eastAsia="宋体"/>
        </w:rPr>
        <w:t>良好</w:t>
      </w:r>
      <w:r>
        <w:rPr>
          <w:rFonts w:ascii="宋体" w:hAnsi="宋体" w:eastAsia="宋体"/>
        </w:rPr>
        <w:t>。</w:t>
      </w:r>
    </w:p>
    <w:p>
      <w:pPr>
        <w:pStyle w:val="46"/>
        <w:spacing w:before="156" w:after="156"/>
        <w:rPr>
          <w:rFonts w:ascii="宋体" w:hAnsi="宋体" w:eastAsia="宋体"/>
        </w:rPr>
      </w:pPr>
      <w:r>
        <w:rPr>
          <w:rFonts w:hint="eastAsia" w:ascii="宋体" w:hAnsi="宋体" w:eastAsia="宋体"/>
        </w:rPr>
        <w:t>社会团体应建立会员数据库，会员数量应达到法定的最低数额。社会团体应加强会员服务，明确会员资格及其权利、义务。</w:t>
      </w:r>
    </w:p>
    <w:p>
      <w:pPr>
        <w:pStyle w:val="46"/>
        <w:spacing w:before="156" w:after="156"/>
        <w:rPr>
          <w:rFonts w:ascii="宋体" w:hAnsi="宋体" w:eastAsia="宋体"/>
        </w:rPr>
      </w:pPr>
      <w:r>
        <w:rPr>
          <w:rFonts w:hint="eastAsia" w:ascii="宋体" w:hAnsi="宋体" w:eastAsia="宋体"/>
        </w:rPr>
        <w:t>社会团体应参与社会治理，积极参与政府决策建议，为政府决策制定提供有价值的本领域、本行业发展建议。</w:t>
      </w:r>
    </w:p>
    <w:p>
      <w:pPr>
        <w:pStyle w:val="46"/>
        <w:spacing w:before="156" w:after="156"/>
        <w:rPr>
          <w:rFonts w:ascii="宋体" w:hAnsi="宋体" w:eastAsia="宋体"/>
        </w:rPr>
      </w:pPr>
      <w:r>
        <w:rPr>
          <w:rFonts w:hint="eastAsia" w:ascii="宋体" w:hAnsi="宋体" w:eastAsia="宋体"/>
        </w:rPr>
        <w:t>社会团体应做好本社会服务领域内的协调沟通工作，</w:t>
      </w:r>
      <w:r>
        <w:rPr>
          <w:rFonts w:ascii="宋体" w:hAnsi="宋体" w:eastAsia="宋体"/>
        </w:rPr>
        <w:t>维护社会秩序、</w:t>
      </w:r>
      <w:r>
        <w:rPr>
          <w:rFonts w:hint="eastAsia" w:ascii="宋体" w:hAnsi="宋体" w:eastAsia="宋体"/>
        </w:rPr>
        <w:t>创新</w:t>
      </w:r>
      <w:r>
        <w:rPr>
          <w:rFonts w:ascii="宋体" w:hAnsi="宋体" w:eastAsia="宋体"/>
        </w:rPr>
        <w:t>社会治理、化解社会</w:t>
      </w:r>
      <w:r>
        <w:rPr>
          <w:rFonts w:hint="eastAsia" w:ascii="宋体" w:hAnsi="宋体" w:eastAsia="宋体"/>
        </w:rPr>
        <w:t>矛盾</w:t>
      </w:r>
      <w:r>
        <w:rPr>
          <w:rFonts w:ascii="宋体" w:hAnsi="宋体" w:eastAsia="宋体"/>
        </w:rPr>
        <w:t>、促进社会和谐</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社会团体应积极开展行业内</w:t>
      </w:r>
      <w:r>
        <w:rPr>
          <w:rFonts w:ascii="宋体" w:hAnsi="宋体" w:eastAsia="宋体"/>
        </w:rPr>
        <w:t>的</w:t>
      </w:r>
      <w:r>
        <w:rPr>
          <w:rFonts w:hint="eastAsia" w:ascii="宋体" w:hAnsi="宋体" w:eastAsia="宋体"/>
        </w:rPr>
        <w:t>诚信自律建设活动，建立会员诚信激励和惩戒机制。</w:t>
      </w:r>
    </w:p>
    <w:p>
      <w:pPr>
        <w:pStyle w:val="46"/>
        <w:spacing w:before="156" w:after="156"/>
        <w:rPr>
          <w:rFonts w:ascii="宋体" w:hAnsi="宋体" w:eastAsia="宋体"/>
        </w:rPr>
      </w:pPr>
      <w:r>
        <w:rPr>
          <w:rFonts w:hint="eastAsia" w:ascii="宋体" w:hAnsi="宋体" w:eastAsia="宋体"/>
        </w:rPr>
        <w:t>社会团体应有常规业务活动。常规业务活动有合理</w:t>
      </w:r>
      <w:r>
        <w:rPr>
          <w:rFonts w:ascii="宋体" w:hAnsi="宋体" w:eastAsia="宋体"/>
        </w:rPr>
        <w:t>数量，并具有较大</w:t>
      </w:r>
      <w:r>
        <w:rPr>
          <w:rFonts w:hint="eastAsia" w:ascii="宋体" w:hAnsi="宋体" w:eastAsia="宋体"/>
        </w:rPr>
        <w:t>的覆盖</w:t>
      </w:r>
      <w:r>
        <w:rPr>
          <w:rFonts w:ascii="宋体" w:hAnsi="宋体" w:eastAsia="宋体"/>
        </w:rPr>
        <w:t>面和良好</w:t>
      </w:r>
      <w:r>
        <w:rPr>
          <w:rFonts w:hint="eastAsia" w:ascii="宋体" w:hAnsi="宋体" w:eastAsia="宋体"/>
        </w:rPr>
        <w:t>的社会</w:t>
      </w:r>
      <w:r>
        <w:rPr>
          <w:rFonts w:ascii="宋体" w:hAnsi="宋体" w:eastAsia="宋体"/>
        </w:rPr>
        <w:t>影响。</w:t>
      </w:r>
    </w:p>
    <w:p>
      <w:pPr>
        <w:pStyle w:val="46"/>
        <w:spacing w:before="156" w:after="156"/>
        <w:rPr>
          <w:rFonts w:ascii="宋体" w:hAnsi="宋体" w:eastAsia="宋体"/>
        </w:rPr>
      </w:pPr>
      <w:r>
        <w:rPr>
          <w:rFonts w:hint="eastAsia" w:ascii="宋体" w:hAnsi="宋体" w:eastAsia="宋体"/>
        </w:rPr>
        <w:t>社会团体应积极参加民政系统专业定点的社会组织教育培训活动。</w:t>
      </w:r>
    </w:p>
    <w:p>
      <w:pPr>
        <w:pStyle w:val="46"/>
        <w:spacing w:before="156" w:after="156"/>
        <w:rPr>
          <w:rFonts w:ascii="宋体" w:hAnsi="宋体" w:eastAsia="宋体"/>
        </w:rPr>
      </w:pPr>
      <w:r>
        <w:rPr>
          <w:rFonts w:hint="eastAsia" w:ascii="宋体" w:hAnsi="宋体" w:eastAsia="宋体"/>
        </w:rPr>
        <w:t>社会团体应积极探索开展具有创新性、业绩突出和较大社会影响力的业务活动。</w:t>
      </w:r>
    </w:p>
    <w:p>
      <w:pPr>
        <w:pStyle w:val="46"/>
        <w:spacing w:before="156" w:after="156"/>
        <w:rPr>
          <w:rFonts w:ascii="宋体" w:hAnsi="宋体" w:eastAsia="宋体"/>
        </w:rPr>
      </w:pPr>
      <w:r>
        <w:rPr>
          <w:rFonts w:hint="eastAsia" w:ascii="宋体" w:hAnsi="宋体" w:eastAsia="宋体"/>
        </w:rPr>
        <w:t>社会团体应积极开展国际交流活动。</w:t>
      </w:r>
    </w:p>
    <w:p>
      <w:pPr>
        <w:pStyle w:val="46"/>
        <w:spacing w:before="156" w:after="156"/>
        <w:rPr>
          <w:rFonts w:ascii="宋体" w:hAnsi="宋体" w:eastAsia="宋体"/>
        </w:rPr>
      </w:pPr>
      <w:r>
        <w:rPr>
          <w:rFonts w:hint="eastAsia" w:ascii="宋体" w:hAnsi="宋体" w:eastAsia="宋体"/>
        </w:rPr>
        <w:t>社会团体受到政府</w:t>
      </w:r>
      <w:r>
        <w:rPr>
          <w:rFonts w:ascii="宋体" w:hAnsi="宋体" w:eastAsia="宋体"/>
        </w:rPr>
        <w:t>或相关</w:t>
      </w:r>
      <w:r>
        <w:rPr>
          <w:rFonts w:hint="eastAsia" w:ascii="宋体" w:hAnsi="宋体" w:eastAsia="宋体"/>
        </w:rPr>
        <w:t>政府部门的正式表彰和奖励。</w:t>
      </w:r>
    </w:p>
    <w:p>
      <w:pPr>
        <w:pStyle w:val="46"/>
        <w:spacing w:before="156" w:after="156"/>
        <w:rPr>
          <w:rFonts w:ascii="宋体" w:hAnsi="宋体" w:eastAsia="宋体"/>
        </w:rPr>
      </w:pPr>
      <w:r>
        <w:rPr>
          <w:rFonts w:hint="eastAsia" w:ascii="宋体" w:hAnsi="宋体" w:eastAsia="宋体"/>
        </w:rPr>
        <w:t>社会团体的党组织活动正常，并按照上级党委要求开展党建工作。</w:t>
      </w:r>
    </w:p>
    <w:p>
      <w:pPr>
        <w:pStyle w:val="49"/>
      </w:pPr>
    </w:p>
    <w:p>
      <w:pPr>
        <w:pStyle w:val="47"/>
        <w:numPr>
          <w:ilvl w:val="1"/>
          <w:numId w:val="0"/>
        </w:numPr>
        <w:spacing w:before="156" w:after="156"/>
      </w:pPr>
      <w:bookmarkStart w:id="83" w:name="_Toc478734634"/>
      <w:r>
        <w:rPr>
          <w:rFonts w:hint="eastAsia"/>
        </w:rPr>
        <w:t>财务管理规范</w:t>
      </w:r>
      <w:bookmarkEnd w:id="83"/>
    </w:p>
    <w:p>
      <w:pPr>
        <w:pStyle w:val="46"/>
        <w:spacing w:before="156" w:after="156"/>
        <w:rPr>
          <w:rFonts w:ascii="宋体" w:hAnsi="宋体" w:eastAsia="宋体"/>
        </w:rPr>
      </w:pPr>
      <w:r>
        <w:rPr>
          <w:rFonts w:hint="eastAsia" w:ascii="宋体" w:hAnsi="宋体" w:eastAsia="宋体"/>
        </w:rPr>
        <w:t>社会团体资产和经费来源应合法，收取费用、筹集资金或者接受、使用捐赠、资助应符合国家有关规定。</w:t>
      </w:r>
    </w:p>
    <w:p>
      <w:pPr>
        <w:pStyle w:val="46"/>
        <w:spacing w:before="156" w:after="156"/>
        <w:rPr>
          <w:rFonts w:ascii="宋体" w:hAnsi="宋体" w:eastAsia="宋体"/>
        </w:rPr>
      </w:pPr>
      <w:r>
        <w:rPr>
          <w:rFonts w:hint="eastAsia" w:ascii="宋体" w:hAnsi="宋体" w:eastAsia="宋体"/>
        </w:rPr>
        <w:t>社会团体所有经费和合法收入应用于章程规定的业务活动。</w:t>
      </w:r>
    </w:p>
    <w:p>
      <w:pPr>
        <w:pStyle w:val="46"/>
        <w:spacing w:before="156" w:after="156"/>
        <w:rPr>
          <w:rFonts w:ascii="宋体" w:hAnsi="宋体" w:eastAsia="宋体"/>
        </w:rPr>
      </w:pPr>
      <w:r>
        <w:rPr>
          <w:rFonts w:hint="eastAsia" w:ascii="宋体" w:hAnsi="宋体" w:eastAsia="宋体"/>
        </w:rPr>
        <w:t>社会团体各项服务收费应符合国家规定的范围、标准和自身实际需要。</w:t>
      </w:r>
    </w:p>
    <w:p>
      <w:pPr>
        <w:pStyle w:val="46"/>
        <w:spacing w:before="156" w:after="156"/>
        <w:rPr>
          <w:rFonts w:ascii="宋体" w:hAnsi="宋体" w:eastAsia="宋体"/>
        </w:rPr>
      </w:pPr>
      <w:r>
        <w:rPr>
          <w:rFonts w:hint="eastAsia" w:ascii="宋体" w:hAnsi="宋体" w:eastAsia="宋体"/>
        </w:rPr>
        <w:t>社会团体接受捐赠应符合章程规定的宗旨和业务范围，应根据与捐赠人约定的期限、方式和合法用途使用。</w:t>
      </w:r>
    </w:p>
    <w:p>
      <w:pPr>
        <w:pStyle w:val="46"/>
        <w:spacing w:before="156" w:after="156"/>
        <w:rPr>
          <w:rFonts w:ascii="宋体" w:hAnsi="宋体" w:eastAsia="宋体"/>
        </w:rPr>
      </w:pPr>
      <w:r>
        <w:rPr>
          <w:rFonts w:hint="eastAsia" w:ascii="宋体" w:hAnsi="宋体" w:eastAsia="宋体"/>
        </w:rPr>
        <w:t>社会团体应依据规定，建立规范、可操作的财务管理制度，并严格执行。</w:t>
      </w:r>
    </w:p>
    <w:p>
      <w:pPr>
        <w:pStyle w:val="46"/>
        <w:spacing w:before="156" w:after="156"/>
        <w:rPr>
          <w:rFonts w:ascii="宋体" w:hAnsi="宋体" w:eastAsia="宋体"/>
        </w:rPr>
      </w:pPr>
      <w:r>
        <w:rPr>
          <w:rFonts w:hint="eastAsia" w:ascii="宋体" w:hAnsi="宋体" w:eastAsia="宋体"/>
        </w:rPr>
        <w:t>社会团体应执行《民间非营利组织会计制度》，会计核算基础工作应符合规范，所附原始凭证、填写记账凭证、登记账簿、编制会计报表应符合规范。</w:t>
      </w:r>
    </w:p>
    <w:p>
      <w:pPr>
        <w:pStyle w:val="46"/>
        <w:spacing w:before="156" w:after="156"/>
        <w:rPr>
          <w:rFonts w:ascii="宋体" w:hAnsi="宋体" w:eastAsia="宋体"/>
        </w:rPr>
      </w:pPr>
      <w:r>
        <w:rPr>
          <w:rFonts w:hint="eastAsia" w:ascii="宋体" w:hAnsi="宋体" w:eastAsia="宋体"/>
        </w:rPr>
        <w:t>社会团体年末净资产应不低于设立登记时的净资产。</w:t>
      </w:r>
    </w:p>
    <w:p>
      <w:pPr>
        <w:pStyle w:val="46"/>
        <w:spacing w:before="156" w:after="156"/>
        <w:rPr>
          <w:rFonts w:ascii="宋体" w:hAnsi="宋体" w:eastAsia="宋体"/>
        </w:rPr>
      </w:pPr>
      <w:r>
        <w:rPr>
          <w:rFonts w:hint="eastAsia" w:ascii="宋体" w:hAnsi="宋体" w:eastAsia="宋体"/>
        </w:rPr>
        <w:t>资产购置和处置应履行严格的审批程序，资产应建立规范的登记管理使用制度。</w:t>
      </w:r>
    </w:p>
    <w:p>
      <w:pPr>
        <w:pStyle w:val="46"/>
        <w:spacing w:before="156" w:after="156"/>
        <w:rPr>
          <w:rFonts w:ascii="宋体" w:hAnsi="宋体" w:eastAsia="宋体"/>
          <w:kern w:val="2"/>
        </w:rPr>
      </w:pPr>
      <w:r>
        <w:rPr>
          <w:rFonts w:hint="eastAsia" w:ascii="宋体" w:hAnsi="宋体" w:eastAsia="宋体"/>
        </w:rPr>
        <w:t>社会团体</w:t>
      </w:r>
      <w:r>
        <w:rPr>
          <w:rFonts w:hint="eastAsia" w:ascii="宋体" w:hAnsi="宋体" w:eastAsia="宋体"/>
          <w:kern w:val="2"/>
        </w:rPr>
        <w:t>应按规定</w:t>
      </w:r>
      <w:r>
        <w:rPr>
          <w:rFonts w:ascii="宋体" w:hAnsi="宋体" w:eastAsia="宋体"/>
          <w:kern w:val="2"/>
        </w:rPr>
        <w:t>进行各种税项的申报和缴纳。</w:t>
      </w:r>
      <w:r>
        <w:rPr>
          <w:rFonts w:hint="eastAsia" w:ascii="宋体" w:hAnsi="宋体" w:eastAsia="宋体"/>
          <w:kern w:val="2"/>
        </w:rPr>
        <w:t>社会团体</w:t>
      </w:r>
      <w:r>
        <w:rPr>
          <w:rFonts w:ascii="宋体" w:hAnsi="宋体" w:eastAsia="宋体"/>
          <w:kern w:val="2"/>
        </w:rPr>
        <w:t>应根据</w:t>
      </w:r>
      <w:r>
        <w:rPr>
          <w:rFonts w:hint="eastAsia" w:ascii="宋体" w:hAnsi="宋体" w:eastAsia="宋体"/>
          <w:kern w:val="2"/>
        </w:rPr>
        <w:t>财政部、国家税务总局的规定申请减免税的资格。个人所得应依法办理纳税申报。</w:t>
      </w:r>
    </w:p>
    <w:p>
      <w:pPr>
        <w:pStyle w:val="46"/>
        <w:spacing w:before="156" w:after="156"/>
        <w:rPr>
          <w:rFonts w:ascii="宋体" w:hAnsi="宋体" w:eastAsia="宋体"/>
        </w:rPr>
      </w:pPr>
      <w:r>
        <w:rPr>
          <w:rFonts w:hint="eastAsia" w:ascii="宋体" w:hAnsi="宋体" w:eastAsia="宋体"/>
        </w:rPr>
        <w:t>社会团体应依据规定到票据管理部门申请办理票据领购手续，税务和财政票据应实行专人管理，并有领用、使用、核销登记手续，对相关业务应使用正规的税务、财政票据。</w:t>
      </w:r>
    </w:p>
    <w:p>
      <w:pPr>
        <w:pStyle w:val="46"/>
        <w:spacing w:before="156" w:after="156"/>
        <w:rPr>
          <w:rFonts w:ascii="宋体" w:hAnsi="宋体" w:eastAsia="宋体"/>
        </w:rPr>
      </w:pPr>
      <w:r>
        <w:rPr>
          <w:rFonts w:hint="eastAsia" w:ascii="宋体" w:hAnsi="宋体" w:eastAsia="宋体"/>
        </w:rPr>
        <w:t>社会团体应</w:t>
      </w:r>
      <w:r>
        <w:rPr>
          <w:rFonts w:ascii="宋体" w:hAnsi="宋体" w:eastAsia="宋体"/>
        </w:rPr>
        <w:t>进行责任审计，社会团体</w:t>
      </w:r>
      <w:r>
        <w:rPr>
          <w:rFonts w:hint="eastAsia" w:ascii="宋体" w:hAnsi="宋体" w:eastAsia="宋体"/>
        </w:rPr>
        <w:t>在换届和更换法定代表人之前，应委托会计师事务所进行换届离任财务审计。</w:t>
      </w:r>
    </w:p>
    <w:p>
      <w:pPr>
        <w:pStyle w:val="46"/>
        <w:spacing w:before="156" w:after="156"/>
        <w:rPr>
          <w:rFonts w:ascii="宋体" w:hAnsi="宋体" w:eastAsia="宋体"/>
        </w:rPr>
      </w:pPr>
      <w:r>
        <w:rPr>
          <w:rFonts w:hint="eastAsia" w:ascii="宋体" w:hAnsi="宋体" w:eastAsia="宋体"/>
        </w:rPr>
        <w:t>社会团体被认定为慈善组织的应每年向社会公开其年度工作报告和财务会计报告，具有公开募捐资格被认定为慈善组织的社会团体的财务会计报告应经过审计。</w:t>
      </w:r>
    </w:p>
    <w:p>
      <w:pPr>
        <w:pStyle w:val="46"/>
        <w:spacing w:before="156" w:after="156"/>
        <w:rPr>
          <w:rFonts w:ascii="宋体" w:hAnsi="宋体" w:eastAsia="宋体"/>
          <w:kern w:val="2"/>
        </w:rPr>
      </w:pPr>
      <w:r>
        <w:rPr>
          <w:rFonts w:hint="eastAsia" w:ascii="宋体" w:hAnsi="宋体" w:eastAsia="宋体"/>
        </w:rPr>
        <w:t>社会团体的</w:t>
      </w:r>
      <w:r>
        <w:rPr>
          <w:rFonts w:hint="eastAsia" w:ascii="宋体" w:hAnsi="宋体" w:eastAsia="宋体"/>
          <w:kern w:val="2"/>
        </w:rPr>
        <w:t>财会人员应按规定实行会计、出纳分设，持从业资格证上岗，并有严格的岗位职责，做到分工明确。未设置专门财务人员的，应委托有资质的代理记账中介机构进行代理记账工作，并经理事会会议审议。</w:t>
      </w:r>
    </w:p>
    <w:p>
      <w:pPr>
        <w:pStyle w:val="46"/>
        <w:spacing w:before="156" w:after="156"/>
        <w:rPr>
          <w:rFonts w:ascii="宋体" w:hAnsi="宋体" w:eastAsia="宋体"/>
          <w:kern w:val="2"/>
        </w:rPr>
      </w:pPr>
      <w:r>
        <w:rPr>
          <w:rFonts w:hint="eastAsia" w:ascii="宋体" w:hAnsi="宋体" w:eastAsia="宋体"/>
        </w:rPr>
        <w:t>社会团体</w:t>
      </w:r>
      <w:r>
        <w:rPr>
          <w:rFonts w:hint="eastAsia" w:ascii="宋体" w:hAnsi="宋体" w:eastAsia="宋体"/>
          <w:kern w:val="2"/>
        </w:rPr>
        <w:t>会计人员调动时，应办理对财务资料交接手续，建立规范的档案管理制度，加强会计档案管理。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社会团体年度总收入应保持稳定或持续增长，社会团体年末净资产应保持稳定或持续增长。</w:t>
      </w:r>
    </w:p>
    <w:p>
      <w:pPr>
        <w:pStyle w:val="49"/>
      </w:pPr>
    </w:p>
    <w:p>
      <w:pPr>
        <w:pStyle w:val="47"/>
        <w:numPr>
          <w:ilvl w:val="1"/>
          <w:numId w:val="0"/>
        </w:numPr>
        <w:spacing w:before="156" w:after="156"/>
      </w:pPr>
      <w:bookmarkStart w:id="84" w:name="_Toc478734635"/>
      <w:r>
        <w:rPr>
          <w:rFonts w:hint="eastAsia"/>
        </w:rPr>
        <w:t>信息公开规范</w:t>
      </w:r>
      <w:bookmarkEnd w:id="84"/>
    </w:p>
    <w:p>
      <w:pPr>
        <w:pStyle w:val="46"/>
        <w:spacing w:before="156" w:after="156"/>
        <w:rPr>
          <w:rFonts w:ascii="宋体" w:hAnsi="宋体" w:eastAsia="宋体"/>
        </w:rPr>
      </w:pPr>
      <w:r>
        <w:rPr>
          <w:rFonts w:hint="eastAsia" w:ascii="宋体" w:hAnsi="宋体" w:eastAsia="宋体"/>
        </w:rPr>
        <w:t>社会团体应建立健全信息公开管理制度，对公开信息的真实性、完整性、及时性负责。公开信息应便于公众获取，无虚假记载、误导性陈述或者重大遗漏。</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妥善保管信息公开档案。</w:t>
      </w:r>
    </w:p>
    <w:p>
      <w:pPr>
        <w:pStyle w:val="46"/>
        <w:spacing w:before="156" w:after="156"/>
        <w:rPr>
          <w:rFonts w:ascii="宋体" w:hAnsi="宋体" w:eastAsia="宋体"/>
        </w:rPr>
      </w:pPr>
      <w:r>
        <w:rPr>
          <w:rFonts w:hint="eastAsia" w:ascii="宋体" w:hAnsi="宋体" w:eastAsia="宋体"/>
        </w:rPr>
        <w:t>社会团体应在网站和新媒体等信息渠道及时公开相关资料，内容丰富完整，体现组织特点和业务范围。内容包括：</w:t>
      </w:r>
    </w:p>
    <w:p>
      <w:pPr>
        <w:pStyle w:val="74"/>
        <w:spacing w:before="156" w:after="156"/>
        <w:ind w:firstLine="420" w:firstLineChars="200"/>
        <w:rPr>
          <w:rFonts w:ascii="宋体" w:hAnsi="宋体" w:eastAsia="宋体"/>
        </w:rPr>
      </w:pPr>
      <w:r>
        <w:rPr>
          <w:rFonts w:ascii="宋体" w:hAnsi="宋体" w:eastAsia="宋体"/>
        </w:rPr>
        <w:t>a)</w:t>
      </w:r>
      <w:r>
        <w:rPr>
          <w:rFonts w:hint="eastAsia" w:ascii="宋体" w:hAnsi="宋体" w:eastAsia="宋体"/>
        </w:rPr>
        <w:t>登记事项；</w:t>
      </w:r>
    </w:p>
    <w:p>
      <w:pPr>
        <w:pStyle w:val="74"/>
        <w:spacing w:before="156" w:after="156"/>
        <w:ind w:firstLine="420" w:firstLineChars="200"/>
        <w:rPr>
          <w:rFonts w:ascii="宋体" w:hAnsi="宋体" w:eastAsia="宋体"/>
        </w:rPr>
      </w:pPr>
      <w:r>
        <w:rPr>
          <w:rFonts w:hint="eastAsia" w:ascii="宋体" w:hAnsi="宋体" w:eastAsia="宋体"/>
        </w:rPr>
        <w:t>b)章程；</w:t>
      </w:r>
    </w:p>
    <w:p>
      <w:pPr>
        <w:pStyle w:val="74"/>
        <w:spacing w:before="156" w:after="156"/>
        <w:ind w:firstLine="420" w:firstLineChars="200"/>
        <w:rPr>
          <w:rFonts w:ascii="宋体" w:hAnsi="宋体" w:eastAsia="宋体"/>
        </w:rPr>
      </w:pPr>
      <w:r>
        <w:rPr>
          <w:rFonts w:hint="eastAsia" w:ascii="宋体" w:hAnsi="宋体" w:eastAsia="宋体"/>
        </w:rPr>
        <w:t>c)组织机构信息；</w:t>
      </w:r>
    </w:p>
    <w:p>
      <w:pPr>
        <w:pStyle w:val="74"/>
        <w:spacing w:before="156" w:after="156"/>
        <w:ind w:firstLine="420" w:firstLineChars="200"/>
        <w:rPr>
          <w:rFonts w:ascii="宋体" w:hAnsi="宋体" w:eastAsia="宋体"/>
        </w:rPr>
      </w:pPr>
      <w:r>
        <w:rPr>
          <w:rFonts w:hint="eastAsia" w:ascii="宋体" w:hAnsi="宋体" w:eastAsia="宋体"/>
        </w:rPr>
        <w:t>d)负责人、理事和监事名单；</w:t>
      </w:r>
    </w:p>
    <w:p>
      <w:pPr>
        <w:pStyle w:val="74"/>
        <w:spacing w:before="156" w:after="156"/>
        <w:ind w:firstLine="420" w:firstLineChars="200"/>
        <w:rPr>
          <w:rFonts w:ascii="宋体" w:hAnsi="宋体" w:eastAsia="宋体"/>
        </w:rPr>
      </w:pPr>
      <w:r>
        <w:rPr>
          <w:rFonts w:ascii="宋体" w:hAnsi="宋体" w:eastAsia="宋体"/>
        </w:rPr>
        <w:t>e)</w:t>
      </w:r>
      <w:r>
        <w:rPr>
          <w:rFonts w:hint="eastAsia" w:ascii="宋体" w:hAnsi="宋体" w:eastAsia="宋体"/>
        </w:rPr>
        <w:t>决策、执行、监督机构成员信息；</w:t>
      </w:r>
    </w:p>
    <w:p>
      <w:pPr>
        <w:pStyle w:val="74"/>
        <w:spacing w:before="156" w:after="156"/>
        <w:ind w:firstLine="420" w:firstLineChars="200"/>
        <w:rPr>
          <w:rFonts w:ascii="宋体" w:hAnsi="宋体" w:eastAsia="宋体"/>
        </w:rPr>
      </w:pPr>
      <w:r>
        <w:rPr>
          <w:rFonts w:ascii="宋体" w:hAnsi="宋体" w:eastAsia="宋体"/>
        </w:rPr>
        <w:t>f)</w:t>
      </w:r>
      <w:r>
        <w:rPr>
          <w:rFonts w:hint="eastAsia" w:ascii="宋体" w:hAnsi="宋体" w:eastAsia="宋体"/>
        </w:rPr>
        <w:t>许可事项；</w:t>
      </w:r>
    </w:p>
    <w:p>
      <w:pPr>
        <w:pStyle w:val="74"/>
        <w:spacing w:before="156" w:after="156"/>
        <w:ind w:firstLine="420" w:firstLineChars="200"/>
        <w:rPr>
          <w:rFonts w:ascii="宋体" w:hAnsi="宋体" w:eastAsia="宋体"/>
        </w:rPr>
      </w:pPr>
      <w:r>
        <w:rPr>
          <w:rFonts w:hint="eastAsia" w:ascii="宋体" w:hAnsi="宋体" w:eastAsia="宋体"/>
        </w:rPr>
        <w:t>g)是否认定为慈善组织；</w:t>
      </w:r>
    </w:p>
    <w:p>
      <w:pPr>
        <w:pStyle w:val="74"/>
        <w:spacing w:before="156" w:after="156"/>
        <w:ind w:firstLine="420" w:firstLineChars="200"/>
        <w:rPr>
          <w:rFonts w:ascii="宋体" w:hAnsi="宋体" w:eastAsia="宋体"/>
        </w:rPr>
      </w:pPr>
      <w:r>
        <w:rPr>
          <w:rFonts w:ascii="宋体" w:hAnsi="宋体" w:eastAsia="宋体"/>
        </w:rPr>
        <w:t>h)</w:t>
      </w:r>
      <w:r>
        <w:rPr>
          <w:rFonts w:hint="eastAsia" w:ascii="宋体" w:hAnsi="宋体" w:eastAsia="宋体"/>
        </w:rPr>
        <w:t>是否享有税收优惠、资助补贴等优惠措施；</w:t>
      </w:r>
    </w:p>
    <w:p>
      <w:pPr>
        <w:pStyle w:val="74"/>
        <w:spacing w:before="156" w:after="156"/>
        <w:ind w:firstLine="420" w:firstLineChars="200"/>
        <w:rPr>
          <w:rFonts w:ascii="宋体" w:hAnsi="宋体" w:eastAsia="宋体"/>
        </w:rPr>
      </w:pPr>
      <w:r>
        <w:rPr>
          <w:rFonts w:ascii="宋体" w:hAnsi="宋体" w:eastAsia="宋体"/>
        </w:rPr>
        <w:t>i)</w:t>
      </w:r>
      <w:r>
        <w:rPr>
          <w:rFonts w:hint="eastAsia" w:ascii="宋体" w:hAnsi="宋体" w:eastAsia="宋体"/>
        </w:rPr>
        <w:t>政府购买服务情况；接收检查、抽查、评估的结果；</w:t>
      </w:r>
    </w:p>
    <w:p>
      <w:pPr>
        <w:pStyle w:val="74"/>
        <w:spacing w:before="156" w:after="156"/>
        <w:ind w:firstLine="420" w:firstLineChars="200"/>
        <w:rPr>
          <w:rFonts w:ascii="宋体" w:hAnsi="宋体" w:eastAsia="宋体"/>
        </w:rPr>
      </w:pPr>
      <w:r>
        <w:rPr>
          <w:rFonts w:ascii="宋体" w:hAnsi="宋体" w:eastAsia="宋体"/>
        </w:rPr>
        <w:t>j)</w:t>
      </w:r>
      <w:r>
        <w:rPr>
          <w:rFonts w:hint="eastAsia" w:ascii="宋体" w:hAnsi="宋体" w:eastAsia="宋体"/>
        </w:rPr>
        <w:t>接受表彰、处罚情况；</w:t>
      </w:r>
    </w:p>
    <w:p>
      <w:pPr>
        <w:pStyle w:val="74"/>
        <w:spacing w:before="156" w:after="156"/>
        <w:ind w:firstLine="420" w:firstLineChars="200"/>
        <w:rPr>
          <w:rFonts w:ascii="宋体" w:hAnsi="宋体" w:eastAsia="宋体"/>
        </w:rPr>
      </w:pPr>
      <w:r>
        <w:rPr>
          <w:rFonts w:ascii="宋体" w:hAnsi="宋体" w:eastAsia="宋体"/>
        </w:rPr>
        <w:t>k)</w:t>
      </w:r>
      <w:r>
        <w:rPr>
          <w:rFonts w:hint="eastAsia" w:ascii="宋体" w:hAnsi="宋体" w:eastAsia="宋体"/>
        </w:rPr>
        <w:t>服务内容和收费标准；</w:t>
      </w:r>
    </w:p>
    <w:p>
      <w:pPr>
        <w:pStyle w:val="74"/>
        <w:spacing w:before="156" w:after="156"/>
        <w:ind w:firstLine="420" w:firstLineChars="200"/>
        <w:rPr>
          <w:rFonts w:ascii="宋体" w:hAnsi="宋体" w:eastAsia="宋体"/>
        </w:rPr>
      </w:pPr>
      <w:r>
        <w:rPr>
          <w:rFonts w:ascii="宋体" w:hAnsi="宋体" w:eastAsia="宋体"/>
        </w:rPr>
        <w:t>l)</w:t>
      </w:r>
      <w:r>
        <w:rPr>
          <w:rFonts w:hint="eastAsia" w:ascii="宋体" w:hAnsi="宋体" w:eastAsia="宋体"/>
        </w:rPr>
        <w:t>接受捐赠和使用情况；</w:t>
      </w:r>
    </w:p>
    <w:p>
      <w:pPr>
        <w:pStyle w:val="74"/>
        <w:spacing w:before="156" w:after="156"/>
        <w:ind w:firstLine="420" w:firstLineChars="200"/>
        <w:rPr>
          <w:rFonts w:ascii="宋体" w:hAnsi="宋体" w:eastAsia="宋体"/>
        </w:rPr>
      </w:pPr>
      <w:r>
        <w:rPr>
          <w:rFonts w:hint="eastAsia" w:ascii="宋体" w:hAnsi="宋体" w:eastAsia="宋体"/>
        </w:rPr>
        <w:t>m)设立分支机构情况。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团体的</w:t>
      </w:r>
      <w:r>
        <w:rPr>
          <w:rFonts w:hint="eastAsia" w:ascii="宋体" w:hAnsi="宋体" w:eastAsia="宋体"/>
        </w:rPr>
        <w:t>信息内容应全面公布并方便查阅，保证会员和社会公众能够方便快捷地查阅、询问。</w:t>
      </w:r>
    </w:p>
    <w:p>
      <w:pPr>
        <w:pStyle w:val="46"/>
        <w:spacing w:before="156" w:after="156"/>
        <w:rPr>
          <w:rFonts w:ascii="宋体" w:hAnsi="宋体" w:eastAsia="宋体"/>
        </w:rPr>
      </w:pPr>
      <w:r>
        <w:rPr>
          <w:rFonts w:hint="eastAsia" w:ascii="宋体" w:hAnsi="宋体" w:eastAsia="宋体"/>
        </w:rPr>
        <w:t>社会团体</w:t>
      </w:r>
      <w:r>
        <w:rPr>
          <w:rFonts w:ascii="宋体" w:hAnsi="宋体" w:eastAsia="宋体"/>
        </w:rPr>
        <w:t>应</w:t>
      </w:r>
      <w:r>
        <w:rPr>
          <w:rFonts w:hint="eastAsia" w:ascii="宋体" w:hAnsi="宋体" w:eastAsia="宋体"/>
        </w:rPr>
        <w:t>及时回复公众质疑。</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在办公场所</w:t>
      </w:r>
      <w:r>
        <w:rPr>
          <w:rFonts w:ascii="宋体" w:hAnsi="宋体" w:eastAsia="宋体"/>
        </w:rPr>
        <w:t>和</w:t>
      </w:r>
      <w:r>
        <w:rPr>
          <w:rFonts w:hint="eastAsia" w:ascii="宋体" w:hAnsi="宋体" w:eastAsia="宋体"/>
        </w:rPr>
        <w:t>服务场所公开机构信息及服务信息。</w:t>
      </w:r>
    </w:p>
    <w:p>
      <w:pPr>
        <w:pStyle w:val="46"/>
        <w:spacing w:before="156" w:after="156"/>
        <w:rPr>
          <w:rFonts w:ascii="宋体" w:hAnsi="宋体" w:eastAsia="宋体"/>
        </w:rPr>
      </w:pPr>
      <w:r>
        <w:rPr>
          <w:rFonts w:hint="eastAsia" w:ascii="宋体" w:hAnsi="宋体" w:eastAsia="宋体"/>
        </w:rPr>
        <w:t>社会团体应及时向会员代表大会、理事会、监事会公布规章制度、业务活动等相关信息。</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按规定向业务主管单位和登记管理机关编制并报送年报材料，年报内容真实。</w:t>
      </w:r>
    </w:p>
    <w:p>
      <w:pPr>
        <w:pStyle w:val="46"/>
        <w:numPr>
          <w:ilvl w:val="3"/>
          <w:numId w:val="0"/>
        </w:numPr>
        <w:spacing w:before="156" w:after="156"/>
        <w:ind w:firstLine="480"/>
        <w:rPr>
          <w:rFonts w:ascii="宋体" w:hAnsi="宋体" w:eastAsia="宋体"/>
        </w:rPr>
      </w:pPr>
      <w:r>
        <w:rPr>
          <w:rFonts w:hint="eastAsia" w:ascii="宋体" w:hAnsi="宋体" w:eastAsia="宋体"/>
        </w:rPr>
        <w:t>年报内容包括：遵守法律、法规、规章和国家政策的情况；履行登记手续情况；按照章程开展活动的情况；人员和机构变动的情况以及财务管理的情况等。</w:t>
      </w:r>
    </w:p>
    <w:p>
      <w:pPr>
        <w:pStyle w:val="46"/>
        <w:numPr>
          <w:ilvl w:val="3"/>
          <w:numId w:val="0"/>
        </w:numPr>
        <w:spacing w:before="156" w:after="156"/>
        <w:ind w:firstLine="480"/>
        <w:rPr>
          <w:rFonts w:ascii="宋体" w:hAnsi="宋体" w:eastAsia="宋体"/>
        </w:rPr>
      </w:pPr>
      <w:r>
        <w:rPr>
          <w:rFonts w:hint="eastAsia" w:ascii="宋体" w:hAnsi="宋体" w:eastAsia="宋体"/>
        </w:rPr>
        <w:t>如社会团体被认定为慈善组织，报告中还应包括年度开展募捐和接收捐赠情况、慈善财产的管理使用情况、慈善项目实施情况以及慈善组织工作人员的工资福利情况。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团体的</w:t>
      </w:r>
      <w:r>
        <w:rPr>
          <w:rFonts w:hint="eastAsia" w:ascii="宋体" w:hAnsi="宋体" w:eastAsia="宋体"/>
        </w:rPr>
        <w:t>年度工作报告应向社会公开。</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w:t>
      </w:r>
      <w:r>
        <w:rPr>
          <w:rFonts w:hint="eastAsia" w:ascii="宋体" w:hAnsi="宋体" w:eastAsia="宋体"/>
        </w:rPr>
        <w:t>编制并报送年报资料时按照要求真实准确填写《党建情况表》。</w:t>
      </w:r>
    </w:p>
    <w:p>
      <w:pPr>
        <w:pStyle w:val="46"/>
        <w:spacing w:before="156" w:after="156"/>
        <w:rPr>
          <w:rFonts w:ascii="宋体" w:hAnsi="宋体" w:eastAsia="宋体"/>
          <w:kern w:val="2"/>
        </w:rPr>
      </w:pPr>
      <w:r>
        <w:rPr>
          <w:rFonts w:hint="eastAsia" w:ascii="宋体" w:hAnsi="宋体" w:eastAsia="宋体"/>
        </w:rPr>
        <w:t>社会团体</w:t>
      </w:r>
      <w:r>
        <w:rPr>
          <w:rFonts w:hint="eastAsia" w:ascii="宋体" w:hAnsi="宋体" w:eastAsia="宋体"/>
          <w:kern w:val="2"/>
        </w:rPr>
        <w:t>应按章程规定向会员（会员代表）大会报告年度财务状况和重大经济活动情况。</w:t>
      </w:r>
    </w:p>
    <w:p>
      <w:pPr>
        <w:pStyle w:val="46"/>
        <w:spacing w:before="156" w:after="156"/>
        <w:rPr>
          <w:rFonts w:ascii="宋体" w:hAnsi="宋体" w:eastAsia="宋体"/>
        </w:rPr>
      </w:pPr>
      <w:r>
        <w:rPr>
          <w:rFonts w:hint="eastAsia" w:ascii="宋体" w:hAnsi="宋体" w:eastAsia="宋体"/>
        </w:rPr>
        <w:t>社会团体信息建设平台应多样，信息公开渠道应丰富。</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团体不得</w:t>
      </w:r>
      <w:r>
        <w:rPr>
          <w:rFonts w:hint="eastAsia" w:ascii="宋体" w:hAnsi="宋体" w:eastAsia="宋体"/>
        </w:rPr>
        <w:t>公开涉及国家秘密、商业秘密、个人隐私的信息，以及捐赠人不同意公开的姓名、名称、住所、通讯方式等信息。</w:t>
      </w:r>
    </w:p>
    <w:p>
      <w:pPr>
        <w:pStyle w:val="49"/>
      </w:pPr>
    </w:p>
    <w:p>
      <w:pPr>
        <w:pStyle w:val="157"/>
        <w:widowControl/>
        <w:numPr>
          <w:ilvl w:val="0"/>
          <w:numId w:val="18"/>
        </w:numPr>
        <w:spacing w:beforeLines="100" w:afterLines="100"/>
        <w:ind w:firstLineChars="0"/>
        <w:outlineLvl w:val="1"/>
      </w:pPr>
      <w:bookmarkStart w:id="85" w:name="_Toc478734636"/>
      <w:r>
        <w:rPr>
          <w:rFonts w:hint="eastAsia" w:ascii="黑体" w:eastAsia="黑体"/>
          <w:kern w:val="0"/>
          <w:szCs w:val="21"/>
        </w:rPr>
        <w:t>社会服务机构评估指标</w:t>
      </w:r>
      <w:bookmarkEnd w:id="85"/>
    </w:p>
    <w:p>
      <w:pPr>
        <w:pStyle w:val="157"/>
        <w:widowControl/>
        <w:spacing w:beforeLines="100" w:afterLines="100"/>
        <w:ind w:firstLine="0" w:firstLineChars="0"/>
        <w:outlineLvl w:val="1"/>
        <w:rPr>
          <w:rFonts w:ascii="黑体" w:eastAsia="黑体"/>
          <w:vanish/>
          <w:kern w:val="0"/>
          <w:szCs w:val="20"/>
        </w:rPr>
      </w:pPr>
      <w:bookmarkStart w:id="86" w:name="_Toc478717697"/>
      <w:bookmarkEnd w:id="86"/>
      <w:bookmarkStart w:id="87" w:name="_Toc478734637"/>
      <w:bookmarkEnd w:id="87"/>
    </w:p>
    <w:p>
      <w:pPr>
        <w:pStyle w:val="47"/>
        <w:numPr>
          <w:ilvl w:val="1"/>
          <w:numId w:val="0"/>
        </w:numPr>
        <w:spacing w:before="156" w:after="156"/>
      </w:pPr>
      <w:bookmarkStart w:id="88" w:name="_Toc478734638"/>
      <w:r>
        <w:rPr>
          <w:rFonts w:hint="eastAsia"/>
        </w:rPr>
        <w:t>依法登记和接受监督</w:t>
      </w:r>
      <w:bookmarkEnd w:id="88"/>
    </w:p>
    <w:p>
      <w:pPr>
        <w:pStyle w:val="46"/>
        <w:spacing w:before="156" w:after="156"/>
        <w:rPr>
          <w:rFonts w:ascii="宋体" w:hAnsi="宋体" w:eastAsia="宋体"/>
        </w:rPr>
      </w:pPr>
      <w:r>
        <w:rPr>
          <w:rFonts w:hint="eastAsia" w:ascii="宋体" w:hAnsi="宋体" w:eastAsia="宋体"/>
        </w:rPr>
        <w:t>社会服务机构须依法登记。社会服务机构登记后应依法办理税务登记和纳税。</w:t>
      </w:r>
    </w:p>
    <w:p>
      <w:pPr>
        <w:pStyle w:val="46"/>
        <w:spacing w:before="156" w:after="156"/>
        <w:rPr>
          <w:rFonts w:ascii="宋体" w:hAnsi="宋体" w:eastAsia="宋体"/>
        </w:rPr>
      </w:pPr>
      <w:r>
        <w:rPr>
          <w:rFonts w:hint="eastAsia" w:ascii="宋体" w:hAnsi="宋体" w:eastAsia="宋体"/>
        </w:rPr>
        <w:t>社会服务机构应有固定的办公场所，且满足办公需要。社会服务机构应具备相应的办公设备。社会服务机构办公场所应悬挂单位名称牌匾。</w:t>
      </w:r>
    </w:p>
    <w:p>
      <w:pPr>
        <w:pStyle w:val="46"/>
        <w:spacing w:before="156" w:after="156"/>
        <w:rPr>
          <w:rFonts w:ascii="宋体" w:hAnsi="宋体" w:eastAsia="宋体"/>
        </w:rPr>
      </w:pPr>
      <w:r>
        <w:rPr>
          <w:rFonts w:hint="eastAsia" w:ascii="宋体" w:hAnsi="宋体" w:eastAsia="宋体"/>
        </w:rPr>
        <w:t>社会服务机构应按照报登记管理机关核准的章程开展工作。社会服务机构在政府相关职能部门无违法记录。</w:t>
      </w:r>
      <w:r>
        <w:rPr>
          <w:rFonts w:ascii="宋体" w:hAnsi="宋体" w:eastAsia="宋体"/>
        </w:rPr>
        <w:t xml:space="preserve"> </w:t>
      </w:r>
    </w:p>
    <w:p>
      <w:pPr>
        <w:pStyle w:val="46"/>
        <w:spacing w:before="156" w:after="156"/>
        <w:rPr>
          <w:rFonts w:ascii="宋体" w:hAnsi="宋体" w:eastAsia="宋体"/>
        </w:rPr>
      </w:pPr>
      <w:r>
        <w:rPr>
          <w:rFonts w:hint="eastAsia" w:ascii="宋体" w:hAnsi="宋体" w:eastAsia="宋体"/>
        </w:rPr>
        <w:t>社会服务机构在登记事项发生变更时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日内向登记机关申请变更登记。</w:t>
      </w:r>
    </w:p>
    <w:p>
      <w:pPr>
        <w:pStyle w:val="46"/>
        <w:spacing w:before="156" w:after="156"/>
        <w:rPr>
          <w:rFonts w:ascii="宋体" w:hAnsi="宋体" w:eastAsia="宋体"/>
        </w:rPr>
      </w:pPr>
      <w:r>
        <w:rPr>
          <w:rFonts w:hint="eastAsia" w:ascii="宋体" w:hAnsi="宋体" w:eastAsia="宋体"/>
        </w:rPr>
        <w:t>社会服务机构不在登记管理机关的异常活动名录中。</w:t>
      </w:r>
    </w:p>
    <w:p>
      <w:pPr>
        <w:pStyle w:val="46"/>
        <w:spacing w:before="156" w:after="156"/>
        <w:rPr>
          <w:rFonts w:ascii="宋体" w:hAnsi="宋体" w:eastAsia="宋体"/>
        </w:rPr>
      </w:pPr>
      <w:r>
        <w:rPr>
          <w:rFonts w:hint="eastAsia" w:ascii="宋体" w:hAnsi="宋体" w:eastAsia="宋体"/>
        </w:rPr>
        <w:t>社会服务机构的负责人应在任职前公示。社会服务机构的法定代表人及负责人不得有以下情形：</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社会服务机构的负责人应参与登记管理机关组织的培训活动。</w:t>
      </w:r>
    </w:p>
    <w:p>
      <w:pPr>
        <w:pStyle w:val="49"/>
      </w:pPr>
    </w:p>
    <w:p>
      <w:pPr>
        <w:pStyle w:val="47"/>
        <w:numPr>
          <w:ilvl w:val="1"/>
          <w:numId w:val="0"/>
        </w:numPr>
        <w:spacing w:before="156" w:after="156"/>
      </w:pPr>
      <w:bookmarkStart w:id="89" w:name="_Toc478734639"/>
      <w:r>
        <w:rPr>
          <w:rFonts w:hint="eastAsia"/>
        </w:rPr>
        <w:t>内部治理规范</w:t>
      </w:r>
      <w:bookmarkEnd w:id="89"/>
    </w:p>
    <w:p>
      <w:pPr>
        <w:pStyle w:val="46"/>
        <w:spacing w:before="156" w:after="156"/>
        <w:rPr>
          <w:rFonts w:ascii="宋体" w:hAnsi="宋体" w:eastAsia="宋体"/>
        </w:rPr>
      </w:pPr>
      <w:r>
        <w:rPr>
          <w:rFonts w:hint="eastAsia" w:ascii="宋体" w:hAnsi="宋体" w:eastAsia="宋体"/>
        </w:rPr>
        <w:t>社会服务机构的法人治理结构应合理，应依照法规规章、</w:t>
      </w:r>
      <w:r>
        <w:rPr>
          <w:rFonts w:ascii="宋体" w:hAnsi="宋体" w:eastAsia="宋体"/>
        </w:rPr>
        <w:t>规范性文件</w:t>
      </w:r>
      <w:r>
        <w:rPr>
          <w:rFonts w:hint="eastAsia" w:ascii="宋体" w:hAnsi="宋体" w:eastAsia="宋体"/>
        </w:rPr>
        <w:t>、</w:t>
      </w:r>
      <w:r>
        <w:rPr>
          <w:rFonts w:ascii="宋体" w:hAnsi="宋体" w:eastAsia="宋体"/>
        </w:rPr>
        <w:t>相关</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社会服务机构法定代表人和负责人产生、罢免应符合法规规章、</w:t>
      </w:r>
      <w:r>
        <w:rPr>
          <w:rFonts w:ascii="宋体" w:hAnsi="宋体" w:eastAsia="宋体"/>
        </w:rPr>
        <w:t>规范</w:t>
      </w:r>
      <w:bookmarkStart w:id="153" w:name="_GoBack"/>
      <w:bookmarkEnd w:id="153"/>
      <w:r>
        <w:rPr>
          <w:rFonts w:hint="eastAsia" w:ascii="宋体" w:hAnsi="宋体" w:eastAsia="宋体"/>
        </w:rPr>
        <w:t>性</w:t>
      </w:r>
      <w:r>
        <w:rPr>
          <w:rFonts w:ascii="宋体" w:hAnsi="宋体" w:eastAsia="宋体"/>
        </w:rPr>
        <w:t>文件、政策</w:t>
      </w:r>
      <w:r>
        <w:rPr>
          <w:rFonts w:hint="eastAsia" w:ascii="宋体" w:hAnsi="宋体" w:eastAsia="宋体"/>
        </w:rPr>
        <w:t>和章程的规定。</w:t>
      </w:r>
    </w:p>
    <w:p>
      <w:pPr>
        <w:pStyle w:val="46"/>
        <w:spacing w:before="156" w:after="156"/>
        <w:rPr>
          <w:rFonts w:ascii="宋体" w:hAnsi="宋体" w:eastAsia="宋体"/>
        </w:rPr>
      </w:pPr>
      <w:r>
        <w:rPr>
          <w:rFonts w:hint="eastAsia" w:ascii="宋体" w:hAnsi="宋体" w:eastAsia="宋体"/>
        </w:rPr>
        <w:t>社会服务机构应按章程要求设立理事会，召开理事会会议，理事会发挥作用良好。</w:t>
      </w:r>
    </w:p>
    <w:p>
      <w:pPr>
        <w:pStyle w:val="46"/>
        <w:spacing w:before="156" w:after="156"/>
        <w:rPr>
          <w:rFonts w:ascii="宋体" w:hAnsi="宋体" w:eastAsia="宋体"/>
        </w:rPr>
      </w:pPr>
      <w:r>
        <w:rPr>
          <w:rFonts w:hint="eastAsia" w:ascii="宋体" w:hAnsi="宋体" w:eastAsia="宋体"/>
        </w:rPr>
        <w:t>社会服务机构应按章程设立监事或监事会，监事</w:t>
      </w:r>
      <w:r>
        <w:rPr>
          <w:rFonts w:ascii="宋体" w:hAnsi="宋体" w:eastAsia="宋体"/>
        </w:rPr>
        <w:t>、</w:t>
      </w:r>
      <w:r>
        <w:rPr>
          <w:rFonts w:hint="eastAsia" w:ascii="宋体" w:hAnsi="宋体" w:eastAsia="宋体"/>
        </w:rPr>
        <w:t>监事会履行职责并发挥作用。</w:t>
      </w:r>
    </w:p>
    <w:p>
      <w:pPr>
        <w:pStyle w:val="46"/>
        <w:spacing w:before="156" w:after="156"/>
        <w:rPr>
          <w:rFonts w:ascii="宋体" w:hAnsi="宋体" w:eastAsia="宋体"/>
        </w:rPr>
      </w:pPr>
      <w:r>
        <w:rPr>
          <w:rFonts w:hint="eastAsia" w:ascii="宋体" w:hAnsi="宋体" w:eastAsia="宋体"/>
        </w:rPr>
        <w:t>社会服务机构应建立健全内部监督机制，应落实民主选举、民主决策和民主管理。</w:t>
      </w:r>
    </w:p>
    <w:p>
      <w:pPr>
        <w:pStyle w:val="46"/>
        <w:spacing w:before="156" w:after="156"/>
        <w:rPr>
          <w:rFonts w:ascii="宋体" w:hAnsi="宋体" w:eastAsia="宋体"/>
        </w:rPr>
      </w:pPr>
      <w:r>
        <w:rPr>
          <w:rFonts w:hint="eastAsia" w:ascii="宋体" w:hAnsi="宋体" w:eastAsia="宋体"/>
        </w:rPr>
        <w:t>社会服务机构章程制定</w:t>
      </w:r>
      <w:r>
        <w:rPr>
          <w:rFonts w:ascii="宋体" w:hAnsi="宋体" w:eastAsia="宋体"/>
        </w:rPr>
        <w:t>和</w:t>
      </w:r>
      <w:r>
        <w:rPr>
          <w:rFonts w:hint="eastAsia" w:ascii="宋体" w:hAnsi="宋体" w:eastAsia="宋体"/>
        </w:rPr>
        <w:t>修改应符合相关规定和登记管理机关的要求。</w:t>
      </w:r>
    </w:p>
    <w:p>
      <w:pPr>
        <w:pStyle w:val="46"/>
        <w:spacing w:before="156" w:after="156"/>
        <w:rPr>
          <w:rFonts w:ascii="宋体" w:hAnsi="宋体" w:eastAsia="宋体"/>
        </w:rPr>
      </w:pPr>
      <w:r>
        <w:rPr>
          <w:rFonts w:hint="eastAsia" w:ascii="宋体" w:hAnsi="宋体" w:eastAsia="宋体"/>
        </w:rPr>
        <w:t>社会服务机构的机构设置应健全合理，符合业务需要，职责明确，有效履行。</w:t>
      </w:r>
    </w:p>
    <w:p>
      <w:pPr>
        <w:pStyle w:val="46"/>
        <w:spacing w:before="156" w:after="156"/>
        <w:rPr>
          <w:rFonts w:ascii="宋体" w:hAnsi="宋体" w:eastAsia="宋体"/>
        </w:rPr>
      </w:pPr>
      <w:r>
        <w:rPr>
          <w:rFonts w:hint="eastAsia" w:ascii="宋体" w:hAnsi="宋体" w:eastAsia="宋体"/>
        </w:rPr>
        <w:t>社会服务机构应按照有关规定建立、健全党组织（党支部、党总支或党委）,或通过孵化方式等方式筹建党组织,或工作人员有加入党组织的渠道。党组织参与社会组织重大问题的决策。</w:t>
      </w:r>
    </w:p>
    <w:p>
      <w:pPr>
        <w:pStyle w:val="46"/>
        <w:spacing w:before="156" w:after="156"/>
        <w:rPr>
          <w:rFonts w:ascii="宋体" w:hAnsi="宋体" w:eastAsia="宋体"/>
        </w:rPr>
      </w:pPr>
      <w:r>
        <w:rPr>
          <w:rFonts w:hint="eastAsia" w:ascii="宋体" w:hAnsi="宋体" w:eastAsia="宋体"/>
        </w:rPr>
        <w:t>社会服务机构应有与业务活动相适应的从业人员。</w:t>
      </w:r>
    </w:p>
    <w:p>
      <w:pPr>
        <w:pStyle w:val="46"/>
        <w:spacing w:before="156" w:after="156"/>
        <w:rPr>
          <w:rFonts w:ascii="宋体" w:hAnsi="宋体" w:eastAsia="宋体"/>
        </w:rPr>
      </w:pPr>
      <w:r>
        <w:rPr>
          <w:rFonts w:hint="eastAsia" w:ascii="宋体" w:hAnsi="宋体" w:eastAsia="宋体"/>
        </w:rPr>
        <w:t>社会服务机构应制定并执行负责人聘用和任职制度，负责人具有管理协调能力。</w:t>
      </w:r>
    </w:p>
    <w:p>
      <w:pPr>
        <w:pStyle w:val="46"/>
        <w:spacing w:before="156" w:after="156"/>
        <w:rPr>
          <w:rFonts w:ascii="宋体" w:hAnsi="宋体" w:eastAsia="宋体"/>
        </w:rPr>
      </w:pPr>
      <w:r>
        <w:rPr>
          <w:rFonts w:hint="eastAsia" w:ascii="宋体" w:hAnsi="宋体" w:eastAsia="宋体"/>
        </w:rPr>
        <w:t>社会服务机构应制定并执行工作人员聘用、任职和薪酬制度。社会服务机构应制定并执行工作人员考核和奖惩制度。</w:t>
      </w:r>
    </w:p>
    <w:p>
      <w:pPr>
        <w:pStyle w:val="46"/>
        <w:spacing w:before="156" w:after="156"/>
        <w:rPr>
          <w:rFonts w:ascii="宋体" w:hAnsi="宋体" w:eastAsia="宋体"/>
        </w:rPr>
      </w:pPr>
      <w:r>
        <w:rPr>
          <w:rFonts w:hint="eastAsia" w:ascii="宋体" w:hAnsi="宋体" w:eastAsia="宋体"/>
        </w:rPr>
        <w:t>社会服务机构应建立档案、证书、印章管理制度。</w:t>
      </w:r>
    </w:p>
    <w:p>
      <w:pPr>
        <w:pStyle w:val="46"/>
        <w:spacing w:before="156" w:after="156"/>
        <w:rPr>
          <w:rFonts w:ascii="宋体" w:hAnsi="宋体" w:eastAsia="宋体"/>
        </w:rPr>
      </w:pPr>
      <w:r>
        <w:rPr>
          <w:rFonts w:hint="eastAsia" w:ascii="宋体" w:hAnsi="宋体" w:eastAsia="宋体"/>
        </w:rPr>
        <w:t>社会服务机构应实行科学化管理手段。以完善和优化服务为目标，创新管理模式和服务模式。</w:t>
      </w:r>
    </w:p>
    <w:p>
      <w:pPr>
        <w:pStyle w:val="46"/>
        <w:spacing w:before="156" w:after="156"/>
        <w:rPr>
          <w:rFonts w:ascii="宋体" w:hAnsi="宋体" w:eastAsia="宋体"/>
        </w:rPr>
      </w:pPr>
      <w:r>
        <w:rPr>
          <w:rFonts w:hint="eastAsia" w:ascii="宋体" w:hAnsi="宋体" w:eastAsia="宋体"/>
        </w:rPr>
        <w:t>社会服务机构应加强自身诚信自律建设，应建立诚信承诺制度。社会服务</w:t>
      </w:r>
      <w:r>
        <w:rPr>
          <w:rFonts w:ascii="宋体" w:hAnsi="宋体" w:eastAsia="宋体"/>
        </w:rPr>
        <w:t>机构应</w:t>
      </w:r>
      <w:r>
        <w:rPr>
          <w:rFonts w:hint="eastAsia" w:ascii="宋体" w:hAnsi="宋体" w:eastAsia="宋体"/>
        </w:rPr>
        <w:t>建立活动影响评估机制，</w:t>
      </w:r>
      <w:r>
        <w:rPr>
          <w:rFonts w:ascii="宋体" w:hAnsi="宋体" w:eastAsia="宋体"/>
        </w:rPr>
        <w:t>对</w:t>
      </w:r>
      <w:r>
        <w:rPr>
          <w:rFonts w:hint="eastAsia" w:ascii="宋体" w:hAnsi="宋体" w:eastAsia="宋体"/>
        </w:rPr>
        <w:t>可能</w:t>
      </w:r>
      <w:r>
        <w:rPr>
          <w:rFonts w:ascii="宋体" w:hAnsi="宋体" w:eastAsia="宋体"/>
        </w:rPr>
        <w:t>引发社会风险的</w:t>
      </w:r>
      <w:r>
        <w:rPr>
          <w:rFonts w:hint="eastAsia" w:ascii="宋体" w:hAnsi="宋体" w:eastAsia="宋体"/>
        </w:rPr>
        <w:t>服务</w:t>
      </w:r>
      <w:r>
        <w:rPr>
          <w:rFonts w:ascii="宋体" w:hAnsi="宋体" w:eastAsia="宋体"/>
        </w:rPr>
        <w:t>领域</w:t>
      </w:r>
      <w:r>
        <w:rPr>
          <w:rFonts w:hint="eastAsia" w:ascii="宋体" w:hAnsi="宋体" w:eastAsia="宋体"/>
        </w:rPr>
        <w:t>内</w:t>
      </w:r>
      <w:r>
        <w:rPr>
          <w:rFonts w:ascii="宋体" w:hAnsi="宋体" w:eastAsia="宋体"/>
        </w:rPr>
        <w:t>的重要事项事</w:t>
      </w:r>
      <w:r>
        <w:rPr>
          <w:rFonts w:hint="eastAsia" w:ascii="宋体" w:hAnsi="宋体" w:eastAsia="宋体"/>
        </w:rPr>
        <w:t>先向</w:t>
      </w:r>
      <w:r>
        <w:rPr>
          <w:rFonts w:ascii="宋体" w:hAnsi="宋体" w:eastAsia="宋体"/>
        </w:rPr>
        <w:t>政府</w:t>
      </w:r>
      <w:r>
        <w:rPr>
          <w:rFonts w:hint="eastAsia" w:ascii="宋体" w:hAnsi="宋体" w:eastAsia="宋体"/>
        </w:rPr>
        <w:t>有关</w:t>
      </w:r>
      <w:r>
        <w:rPr>
          <w:rFonts w:ascii="宋体" w:hAnsi="宋体" w:eastAsia="宋体"/>
        </w:rPr>
        <w:t>部门报告</w:t>
      </w:r>
      <w:r>
        <w:rPr>
          <w:rFonts w:hint="eastAsia" w:ascii="宋体" w:hAnsi="宋体" w:eastAsia="宋体"/>
        </w:rPr>
        <w:t>。</w:t>
      </w:r>
    </w:p>
    <w:p>
      <w:pPr>
        <w:pStyle w:val="49"/>
      </w:pPr>
    </w:p>
    <w:p>
      <w:pPr>
        <w:pStyle w:val="47"/>
        <w:numPr>
          <w:ilvl w:val="1"/>
          <w:numId w:val="0"/>
        </w:numPr>
        <w:spacing w:before="156" w:after="156"/>
        <w:rPr>
          <w:sz w:val="24"/>
          <w:szCs w:val="24"/>
        </w:rPr>
      </w:pPr>
      <w:bookmarkStart w:id="90" w:name="_Toc478734640"/>
      <w:r>
        <w:rPr>
          <w:rFonts w:hint="eastAsia"/>
        </w:rPr>
        <w:t>业务活动能力</w:t>
      </w:r>
      <w:bookmarkEnd w:id="90"/>
    </w:p>
    <w:p>
      <w:pPr>
        <w:pStyle w:val="46"/>
        <w:spacing w:before="156" w:after="156"/>
        <w:rPr>
          <w:rFonts w:ascii="宋体" w:hAnsi="宋体" w:eastAsia="宋体"/>
        </w:rPr>
      </w:pPr>
      <w:bookmarkStart w:id="91" w:name="OLE_LINK5"/>
      <w:bookmarkStart w:id="92" w:name="OLE_LINK6"/>
      <w:r>
        <w:rPr>
          <w:rFonts w:hint="eastAsia" w:ascii="宋体" w:hAnsi="宋体" w:eastAsia="宋体"/>
        </w:rPr>
        <w:t>社会服务机构应按照章程规定的宗旨和业务范围进行活动。</w:t>
      </w:r>
      <w:bookmarkEnd w:id="91"/>
      <w:bookmarkEnd w:id="92"/>
    </w:p>
    <w:p>
      <w:pPr>
        <w:pStyle w:val="46"/>
        <w:spacing w:before="156" w:after="156"/>
        <w:rPr>
          <w:rFonts w:ascii="宋体" w:hAnsi="宋体" w:eastAsia="宋体"/>
        </w:rPr>
      </w:pPr>
      <w:r>
        <w:rPr>
          <w:rFonts w:hint="eastAsia" w:ascii="宋体" w:hAnsi="宋体" w:eastAsia="宋体"/>
        </w:rPr>
        <w:t>社会服务机构应制定和实施中长期发展规划（</w:t>
      </w:r>
      <w:r>
        <w:rPr>
          <w:rFonts w:ascii="宋体" w:hAnsi="宋体" w:eastAsia="宋体"/>
        </w:rPr>
        <w:t>3</w:t>
      </w:r>
      <w:r>
        <w:rPr>
          <w:rFonts w:hint="eastAsia" w:ascii="宋体" w:hAnsi="宋体" w:eastAsia="宋体"/>
        </w:rPr>
        <w:t>年及以上）。</w:t>
      </w:r>
    </w:p>
    <w:p>
      <w:pPr>
        <w:pStyle w:val="46"/>
        <w:spacing w:before="156" w:after="156"/>
        <w:rPr>
          <w:rFonts w:ascii="宋体" w:hAnsi="宋体" w:eastAsia="宋体"/>
        </w:rPr>
      </w:pPr>
      <w:r>
        <w:rPr>
          <w:rFonts w:hint="eastAsia" w:ascii="宋体" w:hAnsi="宋体" w:eastAsia="宋体"/>
        </w:rPr>
        <w:t>社会服务机构应根据理事会的决议要求，完成年度业务工作计划，逐年提交年度工作报告。</w:t>
      </w:r>
    </w:p>
    <w:p>
      <w:pPr>
        <w:pStyle w:val="46"/>
        <w:spacing w:before="156" w:after="156"/>
        <w:rPr>
          <w:rFonts w:ascii="宋体" w:hAnsi="宋体" w:eastAsia="宋体"/>
        </w:rPr>
      </w:pPr>
      <w:r>
        <w:rPr>
          <w:rFonts w:hint="eastAsia" w:ascii="宋体" w:hAnsi="宋体" w:eastAsia="宋体"/>
        </w:rPr>
        <w:t>社会服务机构应对所开展的项目和活动进行有序管理，保障可控、规范和高效。</w:t>
      </w:r>
    </w:p>
    <w:p>
      <w:pPr>
        <w:pStyle w:val="46"/>
        <w:spacing w:before="156" w:after="156"/>
        <w:rPr>
          <w:rFonts w:ascii="宋体" w:hAnsi="宋体" w:eastAsia="宋体"/>
        </w:rPr>
      </w:pPr>
      <w:r>
        <w:rPr>
          <w:rFonts w:hint="eastAsia" w:ascii="宋体" w:hAnsi="宋体" w:eastAsia="宋体"/>
        </w:rPr>
        <w:t>社会服务机构有政府资助或有政府委托项目及购买服务项目，项目</w:t>
      </w:r>
      <w:r>
        <w:rPr>
          <w:rFonts w:ascii="宋体" w:hAnsi="宋体" w:eastAsia="宋体"/>
        </w:rPr>
        <w:t>执行良好</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社会服务机构有</w:t>
      </w:r>
      <w:r>
        <w:rPr>
          <w:rFonts w:ascii="宋体" w:hAnsi="宋体" w:eastAsia="宋体"/>
        </w:rPr>
        <w:t>常规服务项目</w:t>
      </w:r>
      <w:r>
        <w:rPr>
          <w:rFonts w:hint="eastAsia" w:ascii="宋体" w:hAnsi="宋体" w:eastAsia="宋体"/>
        </w:rPr>
        <w:t>。常规服务</w:t>
      </w:r>
      <w:r>
        <w:rPr>
          <w:rFonts w:ascii="宋体" w:hAnsi="宋体" w:eastAsia="宋体"/>
        </w:rPr>
        <w:t>项目</w:t>
      </w:r>
      <w:r>
        <w:rPr>
          <w:rFonts w:hint="eastAsia" w:ascii="宋体" w:hAnsi="宋体" w:eastAsia="宋体"/>
        </w:rPr>
        <w:t>有</w:t>
      </w:r>
      <w:r>
        <w:rPr>
          <w:rFonts w:ascii="宋体" w:hAnsi="宋体" w:eastAsia="宋体"/>
        </w:rPr>
        <w:t>合理数量</w:t>
      </w:r>
      <w:r>
        <w:rPr>
          <w:rFonts w:hint="eastAsia" w:ascii="宋体" w:hAnsi="宋体" w:eastAsia="宋体"/>
        </w:rPr>
        <w:t>，</w:t>
      </w:r>
      <w:r>
        <w:rPr>
          <w:rFonts w:ascii="宋体" w:hAnsi="宋体" w:eastAsia="宋体"/>
        </w:rPr>
        <w:t>并</w:t>
      </w:r>
      <w:r>
        <w:rPr>
          <w:rFonts w:hint="eastAsia" w:ascii="宋体" w:hAnsi="宋体" w:eastAsia="宋体"/>
        </w:rPr>
        <w:t>具有较大的覆盖面和良好的社会影响。</w:t>
      </w:r>
    </w:p>
    <w:p>
      <w:pPr>
        <w:pStyle w:val="46"/>
        <w:spacing w:before="156" w:after="156"/>
        <w:rPr>
          <w:rFonts w:ascii="宋体" w:hAnsi="宋体" w:eastAsia="宋体"/>
        </w:rPr>
      </w:pPr>
      <w:r>
        <w:rPr>
          <w:rFonts w:hint="eastAsia" w:ascii="宋体" w:hAnsi="宋体" w:eastAsia="宋体"/>
        </w:rPr>
        <w:t>社会服务机构积极开展业务宣传推广活动，并有活动记录和总结。</w:t>
      </w:r>
    </w:p>
    <w:p>
      <w:pPr>
        <w:pStyle w:val="46"/>
        <w:spacing w:before="156" w:after="156"/>
        <w:rPr>
          <w:rFonts w:ascii="宋体" w:hAnsi="宋体" w:eastAsia="宋体"/>
        </w:rPr>
      </w:pPr>
      <w:r>
        <w:rPr>
          <w:rFonts w:hint="eastAsia" w:ascii="宋体" w:hAnsi="宋体" w:eastAsia="宋体"/>
        </w:rPr>
        <w:t>社会服务机构应参与公共政策，在社会治理和社会建设过程中为政府咨询、决策提供意见或建议。</w:t>
      </w:r>
    </w:p>
    <w:p>
      <w:pPr>
        <w:pStyle w:val="46"/>
        <w:spacing w:before="156" w:after="156"/>
        <w:rPr>
          <w:rFonts w:ascii="宋体" w:hAnsi="宋体" w:eastAsia="宋体"/>
        </w:rPr>
      </w:pPr>
      <w:r>
        <w:rPr>
          <w:rFonts w:hint="eastAsia" w:ascii="宋体" w:hAnsi="宋体" w:eastAsia="宋体"/>
        </w:rPr>
        <w:t>社会服务机构应积极参加民政系统专业定点的社会组织教育培训活动。</w:t>
      </w:r>
    </w:p>
    <w:p>
      <w:pPr>
        <w:pStyle w:val="46"/>
        <w:spacing w:before="156" w:after="156"/>
        <w:rPr>
          <w:rFonts w:ascii="宋体" w:hAnsi="宋体" w:eastAsia="宋体"/>
        </w:rPr>
      </w:pPr>
      <w:r>
        <w:rPr>
          <w:rFonts w:hint="eastAsia" w:ascii="宋体" w:hAnsi="宋体" w:eastAsia="宋体"/>
        </w:rPr>
        <w:t>社会服务机构应开展具有创新性强、社会效益突出和影响力大的业务活动。</w:t>
      </w:r>
    </w:p>
    <w:p>
      <w:pPr>
        <w:pStyle w:val="46"/>
        <w:spacing w:before="156" w:after="156"/>
        <w:rPr>
          <w:rFonts w:ascii="宋体" w:hAnsi="宋体" w:eastAsia="宋体"/>
        </w:rPr>
      </w:pPr>
      <w:r>
        <w:rPr>
          <w:rFonts w:hint="eastAsia" w:ascii="宋体" w:hAnsi="宋体" w:eastAsia="宋体"/>
        </w:rPr>
        <w:t>社会服务机构有受到政府</w:t>
      </w:r>
      <w:r>
        <w:rPr>
          <w:rFonts w:ascii="宋体" w:hAnsi="宋体" w:eastAsia="宋体"/>
        </w:rPr>
        <w:t>或相关</w:t>
      </w:r>
      <w:r>
        <w:rPr>
          <w:rFonts w:hint="eastAsia" w:ascii="宋体" w:hAnsi="宋体" w:eastAsia="宋体"/>
        </w:rPr>
        <w:t>政府部门的正式表彰和奖励。</w:t>
      </w:r>
    </w:p>
    <w:p>
      <w:pPr>
        <w:pStyle w:val="46"/>
        <w:spacing w:before="156" w:after="156"/>
        <w:rPr>
          <w:rFonts w:ascii="宋体" w:hAnsi="宋体" w:eastAsia="宋体"/>
        </w:rPr>
      </w:pPr>
      <w:r>
        <w:rPr>
          <w:rFonts w:hint="eastAsia" w:ascii="宋体" w:hAnsi="宋体" w:eastAsia="宋体"/>
        </w:rPr>
        <w:t>社会服务机构的党组织活动正常，并按照上级党委要求开展党建工作。</w:t>
      </w:r>
    </w:p>
    <w:p>
      <w:pPr>
        <w:pStyle w:val="49"/>
      </w:pPr>
    </w:p>
    <w:p>
      <w:pPr>
        <w:pStyle w:val="47"/>
        <w:numPr>
          <w:ilvl w:val="1"/>
          <w:numId w:val="0"/>
        </w:numPr>
        <w:spacing w:before="156" w:after="156"/>
      </w:pPr>
      <w:bookmarkStart w:id="93" w:name="_Toc478734641"/>
      <w:r>
        <w:rPr>
          <w:rFonts w:hint="eastAsia"/>
        </w:rPr>
        <w:t>财务管理规范</w:t>
      </w:r>
      <w:bookmarkEnd w:id="93"/>
    </w:p>
    <w:p>
      <w:pPr>
        <w:pStyle w:val="46"/>
        <w:spacing w:before="156" w:after="156"/>
        <w:rPr>
          <w:rFonts w:ascii="宋体" w:hAnsi="宋体" w:eastAsia="宋体"/>
        </w:rPr>
      </w:pPr>
      <w:r>
        <w:rPr>
          <w:rFonts w:hint="eastAsia" w:ascii="宋体" w:hAnsi="宋体" w:eastAsia="宋体"/>
        </w:rPr>
        <w:t>社会服务机构资产和经费来源应当合法，收取费用、筹集资金或者接受捐赠、资助应符合国家有关规定。</w:t>
      </w:r>
    </w:p>
    <w:p>
      <w:pPr>
        <w:pStyle w:val="46"/>
        <w:spacing w:before="156" w:after="156"/>
        <w:rPr>
          <w:rFonts w:ascii="宋体" w:hAnsi="宋体" w:eastAsia="宋体"/>
        </w:rPr>
      </w:pPr>
      <w:r>
        <w:rPr>
          <w:rFonts w:hint="eastAsia" w:ascii="宋体" w:hAnsi="宋体" w:eastAsia="宋体"/>
        </w:rPr>
        <w:t>社会服务机构合法的资产和接受捐赠、资助的收入应用于章程规定的业务活动范围。</w:t>
      </w:r>
    </w:p>
    <w:p>
      <w:pPr>
        <w:pStyle w:val="46"/>
        <w:spacing w:before="156" w:after="156"/>
        <w:rPr>
          <w:rFonts w:ascii="宋体" w:hAnsi="宋体" w:eastAsia="宋体"/>
        </w:rPr>
      </w:pPr>
      <w:r>
        <w:rPr>
          <w:rFonts w:hint="eastAsia" w:ascii="宋体" w:hAnsi="宋体" w:eastAsia="宋体"/>
        </w:rPr>
        <w:t>社会服务机构应当拥有与其业务活动相适应的合法财产，以保证业务正常开展。</w:t>
      </w:r>
    </w:p>
    <w:p>
      <w:pPr>
        <w:pStyle w:val="46"/>
        <w:spacing w:before="156" w:after="156"/>
        <w:rPr>
          <w:rFonts w:ascii="宋体" w:hAnsi="宋体" w:eastAsia="宋体"/>
        </w:rPr>
      </w:pPr>
      <w:r>
        <w:rPr>
          <w:rFonts w:hint="eastAsia" w:ascii="宋体" w:hAnsi="宋体" w:eastAsia="宋体"/>
        </w:rPr>
        <w:t>社会服务机构各项服务收费应符合国家规定的范围、标准和自身实际需要。</w:t>
      </w:r>
    </w:p>
    <w:p>
      <w:pPr>
        <w:pStyle w:val="46"/>
        <w:spacing w:before="156" w:after="156"/>
        <w:rPr>
          <w:rFonts w:ascii="宋体" w:hAnsi="宋体" w:eastAsia="宋体"/>
        </w:rPr>
      </w:pPr>
      <w:r>
        <w:rPr>
          <w:rFonts w:hint="eastAsia" w:ascii="宋体" w:hAnsi="宋体" w:eastAsia="宋体"/>
        </w:rPr>
        <w:t>社会服务机构接受捐赠应当符合章程规定的宗旨和业务范围，应根据与捐赠人约定的期限、方式和合法用途使用。提供资助，应当符合章程规定的宗旨和业务范围，必要时应与受助人约定使用的期限、方式和合法用途。</w:t>
      </w:r>
    </w:p>
    <w:p>
      <w:pPr>
        <w:pStyle w:val="46"/>
        <w:spacing w:before="156" w:after="156"/>
        <w:rPr>
          <w:rFonts w:ascii="宋体" w:hAnsi="宋体" w:eastAsia="宋体"/>
        </w:rPr>
      </w:pPr>
      <w:r>
        <w:rPr>
          <w:rFonts w:hint="eastAsia" w:ascii="宋体" w:hAnsi="宋体" w:eastAsia="宋体"/>
        </w:rPr>
        <w:t>社会服务机构应依据规定建立规范、操作性强的财务管理制度，并严格执行。</w:t>
      </w:r>
    </w:p>
    <w:p>
      <w:pPr>
        <w:pStyle w:val="46"/>
        <w:spacing w:before="156" w:after="156"/>
        <w:rPr>
          <w:rFonts w:ascii="宋体" w:hAnsi="宋体" w:eastAsia="宋体"/>
        </w:rPr>
      </w:pPr>
      <w:r>
        <w:rPr>
          <w:rFonts w:hint="eastAsia" w:ascii="宋体" w:hAnsi="宋体" w:eastAsia="宋体"/>
        </w:rPr>
        <w:t>社会服务机构应执行《民间非营利组织会计制度》，会计核算基础工作应符合规范，所附原始凭证、填制记账凭证、登记账簿、编制会计报表应符合规范。</w:t>
      </w:r>
    </w:p>
    <w:p>
      <w:pPr>
        <w:pStyle w:val="46"/>
        <w:spacing w:before="156" w:after="156"/>
        <w:rPr>
          <w:rFonts w:ascii="宋体" w:hAnsi="宋体" w:eastAsia="宋体"/>
        </w:rPr>
      </w:pPr>
      <w:r>
        <w:rPr>
          <w:rFonts w:hint="eastAsia" w:ascii="宋体" w:hAnsi="宋体" w:eastAsia="宋体"/>
        </w:rPr>
        <w:t>社会服务机构应进行</w:t>
      </w:r>
      <w:r>
        <w:rPr>
          <w:rFonts w:ascii="宋体" w:hAnsi="宋体" w:eastAsia="宋体"/>
        </w:rPr>
        <w:t>责任审计，社会服务机构在</w:t>
      </w:r>
      <w:r>
        <w:rPr>
          <w:rFonts w:hint="eastAsia" w:ascii="宋体" w:hAnsi="宋体" w:eastAsia="宋体"/>
        </w:rPr>
        <w:t>变更法定代表人之前，应委托会计师事务所进行离任财务审计。</w:t>
      </w:r>
    </w:p>
    <w:p>
      <w:pPr>
        <w:pStyle w:val="46"/>
        <w:spacing w:before="156" w:after="156"/>
        <w:rPr>
          <w:rFonts w:ascii="宋体" w:hAnsi="宋体" w:eastAsia="宋体"/>
        </w:rPr>
      </w:pPr>
      <w:r>
        <w:rPr>
          <w:rFonts w:hint="eastAsia" w:ascii="宋体" w:hAnsi="宋体" w:eastAsia="宋体"/>
        </w:rPr>
        <w:t>社会服务机构被认定为慈善组织的应每年向社会公开其年度工作报告和财务会计报告。具有公开募捐资格被认定为慈善组织的社会服务机构的财务会计报告应经审计。</w:t>
      </w:r>
    </w:p>
    <w:p>
      <w:pPr>
        <w:pStyle w:val="46"/>
        <w:spacing w:before="156" w:after="156"/>
        <w:rPr>
          <w:rFonts w:ascii="宋体" w:hAnsi="宋体" w:eastAsia="宋体"/>
        </w:rPr>
      </w:pPr>
      <w:r>
        <w:rPr>
          <w:rFonts w:hint="eastAsia" w:ascii="宋体" w:hAnsi="宋体" w:eastAsia="宋体"/>
        </w:rPr>
        <w:t>社会服务机构应按规定到税务主管部门办理税务登记和</w:t>
      </w:r>
      <w:r>
        <w:rPr>
          <w:rFonts w:ascii="宋体" w:hAnsi="宋体" w:eastAsia="宋体"/>
        </w:rPr>
        <w:t>依法纳税</w:t>
      </w:r>
      <w:r>
        <w:rPr>
          <w:rFonts w:hint="eastAsia" w:ascii="宋体" w:hAnsi="宋体" w:eastAsia="宋体"/>
        </w:rPr>
        <w:t>。个人所得应依法办理纳税申报。</w:t>
      </w:r>
    </w:p>
    <w:p>
      <w:pPr>
        <w:pStyle w:val="46"/>
        <w:spacing w:before="156" w:after="156"/>
        <w:rPr>
          <w:rFonts w:ascii="宋体" w:hAnsi="宋体" w:eastAsia="宋体"/>
        </w:rPr>
      </w:pPr>
      <w:r>
        <w:rPr>
          <w:rFonts w:hint="eastAsia" w:ascii="宋体" w:hAnsi="宋体" w:eastAsia="宋体"/>
        </w:rPr>
        <w:t>社会服务机构应依据规定到票据管理部门办理票据领购手续，社会服务机构的税务和财政票据实行专人管理，建立领用、使用、核销登记台账，对相关业务应使用正规的税务、财政票据。</w:t>
      </w:r>
    </w:p>
    <w:p>
      <w:pPr>
        <w:pStyle w:val="46"/>
        <w:spacing w:before="156" w:after="156"/>
        <w:rPr>
          <w:rFonts w:ascii="宋体" w:hAnsi="宋体" w:eastAsia="宋体"/>
        </w:rPr>
      </w:pPr>
      <w:r>
        <w:rPr>
          <w:rFonts w:hint="eastAsia" w:ascii="宋体" w:hAnsi="宋体" w:eastAsia="宋体"/>
        </w:rPr>
        <w:t>社会服务机构的会计人员、出纳应分设，且有从业证书，财会人员要有明确的岗位工作职责。社会</w:t>
      </w:r>
      <w:r>
        <w:rPr>
          <w:rFonts w:ascii="宋体" w:hAnsi="宋体" w:eastAsia="宋体"/>
        </w:rPr>
        <w:t>服务机构</w:t>
      </w:r>
      <w:r>
        <w:rPr>
          <w:rFonts w:hint="eastAsia" w:ascii="宋体" w:hAnsi="宋体" w:eastAsia="宋体"/>
        </w:rPr>
        <w:t>如未设置专门财务人员的，应委托有资质的代理记账中介机构进行代理记账工作，并经理事会会议审议。</w:t>
      </w:r>
    </w:p>
    <w:p>
      <w:pPr>
        <w:pStyle w:val="46"/>
        <w:spacing w:before="156" w:after="156"/>
        <w:rPr>
          <w:rFonts w:ascii="宋体" w:hAnsi="宋体" w:eastAsia="宋体"/>
        </w:rPr>
      </w:pPr>
      <w:r>
        <w:rPr>
          <w:rFonts w:hint="eastAsia" w:ascii="宋体" w:hAnsi="宋体" w:eastAsia="宋体"/>
        </w:rPr>
        <w:t>社会服务机构会计人员调动时，应办理财务资料交接手续，建立规范的档案管理制度，加强会计档案管理。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社会服务机构年度总收入应保持稳定或持续增长，社会服务机构年末净资产应保持稳定或持续增长。</w:t>
      </w:r>
    </w:p>
    <w:p>
      <w:pPr>
        <w:pStyle w:val="49"/>
      </w:pPr>
    </w:p>
    <w:p>
      <w:pPr>
        <w:pStyle w:val="47"/>
        <w:numPr>
          <w:ilvl w:val="1"/>
          <w:numId w:val="0"/>
        </w:numPr>
        <w:spacing w:before="156" w:after="156"/>
      </w:pPr>
      <w:bookmarkStart w:id="94" w:name="_Toc478734642"/>
      <w:r>
        <w:rPr>
          <w:rFonts w:hint="eastAsia"/>
        </w:rPr>
        <w:t>信息公开规范</w:t>
      </w:r>
      <w:bookmarkEnd w:id="94"/>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机构应建立健全信息公开管理制度，对公开信息的真实性、完整性、及时性负责。公开信息应便于公众获取，无虚假记载、误导性陈述或者重大遗漏。</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应</w:t>
      </w:r>
      <w:r>
        <w:rPr>
          <w:rFonts w:hint="eastAsia" w:ascii="宋体" w:hAnsi="宋体" w:eastAsia="宋体"/>
        </w:rPr>
        <w:t>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机构对于已经公开的信息，应制作信息公开档案，妥善保管。</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机构应在网站等渠道及时公开相关资料，体现组织特点和业务范围。内容包括：</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a)登记、许可事项；</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b)章程；</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c)负责人、理事和监事名单；</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d)</w:t>
      </w:r>
      <w:r>
        <w:rPr>
          <w:rFonts w:hint="eastAsia" w:ascii="宋体" w:hAnsi="宋体"/>
          <w:kern w:val="0"/>
          <w:szCs w:val="21"/>
        </w:rPr>
        <w:t>决策、执行、监督机构成员信息；</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f)</w:t>
      </w:r>
      <w:r>
        <w:rPr>
          <w:rFonts w:hint="eastAsia" w:ascii="宋体" w:hAnsi="宋体"/>
          <w:kern w:val="0"/>
          <w:szCs w:val="21"/>
        </w:rPr>
        <w:t>是否认定为慈善组织；</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g)</w:t>
      </w:r>
      <w:r>
        <w:rPr>
          <w:rFonts w:hint="eastAsia" w:ascii="宋体" w:hAnsi="宋体"/>
          <w:kern w:val="0"/>
          <w:szCs w:val="21"/>
        </w:rPr>
        <w:t>是否享有税收优惠、资助补贴等优惠措施；</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f)</w:t>
      </w:r>
      <w:r>
        <w:rPr>
          <w:rFonts w:hint="eastAsia" w:ascii="宋体" w:hAnsi="宋体"/>
          <w:kern w:val="0"/>
          <w:szCs w:val="21"/>
        </w:rPr>
        <w:t>政府购买服务情况；</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i)接收检查、抽查、评估的结果；</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j)</w:t>
      </w:r>
      <w:r>
        <w:rPr>
          <w:rFonts w:hint="eastAsia" w:ascii="宋体" w:hAnsi="宋体"/>
          <w:kern w:val="0"/>
          <w:szCs w:val="21"/>
        </w:rPr>
        <w:t>接受表彰、处罚情况；</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k)</w:t>
      </w:r>
      <w:r>
        <w:rPr>
          <w:rFonts w:hint="eastAsia" w:ascii="宋体" w:hAnsi="宋体"/>
          <w:kern w:val="0"/>
          <w:szCs w:val="21"/>
        </w:rPr>
        <w:t>服务内容和收费标准；</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l)</w:t>
      </w:r>
      <w:r>
        <w:rPr>
          <w:rFonts w:hint="eastAsia" w:ascii="宋体" w:hAnsi="宋体"/>
          <w:kern w:val="0"/>
          <w:szCs w:val="21"/>
        </w:rPr>
        <w:t>接受捐赠和使用情况；</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m)</w:t>
      </w:r>
      <w:r>
        <w:rPr>
          <w:rFonts w:hint="eastAsia" w:ascii="宋体" w:hAnsi="宋体"/>
          <w:kern w:val="0"/>
          <w:szCs w:val="21"/>
        </w:rPr>
        <w:t>与利益关联方发生交易情况；</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n)</w:t>
      </w:r>
      <w:r>
        <w:rPr>
          <w:rFonts w:hint="eastAsia" w:ascii="宋体" w:hAnsi="宋体"/>
          <w:kern w:val="0"/>
          <w:szCs w:val="21"/>
        </w:rPr>
        <w:t>设立执行机构情况。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机构公布的信息内容中应包括机构名称、住所、业务范围、日常活动内容、咨询方式等，可以保证社会公众能够方便快捷地查阅、询问。</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应</w:t>
      </w:r>
      <w:r>
        <w:rPr>
          <w:rFonts w:hint="eastAsia" w:ascii="宋体" w:hAnsi="宋体" w:eastAsia="宋体"/>
        </w:rPr>
        <w:t>及时回复公众质疑。</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应</w:t>
      </w:r>
      <w:r>
        <w:rPr>
          <w:rFonts w:hint="eastAsia" w:ascii="宋体" w:hAnsi="宋体" w:eastAsia="宋体"/>
        </w:rPr>
        <w:t>在办公场所</w:t>
      </w:r>
      <w:r>
        <w:rPr>
          <w:rFonts w:ascii="宋体" w:hAnsi="宋体" w:eastAsia="宋体"/>
        </w:rPr>
        <w:t>和</w:t>
      </w:r>
      <w:r>
        <w:rPr>
          <w:rFonts w:hint="eastAsia" w:ascii="宋体" w:hAnsi="宋体" w:eastAsia="宋体"/>
        </w:rPr>
        <w:t>服务场所公开机构信息及服务信息。</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机构应及时向机构</w:t>
      </w:r>
      <w:r>
        <w:rPr>
          <w:rFonts w:ascii="宋体" w:hAnsi="宋体" w:eastAsia="宋体"/>
        </w:rPr>
        <w:t>内部</w:t>
      </w:r>
      <w:r>
        <w:rPr>
          <w:rFonts w:hint="eastAsia" w:ascii="宋体" w:hAnsi="宋体" w:eastAsia="宋体"/>
        </w:rPr>
        <w:t>公开规章制度、业务活动等相关信息。</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机构信息建设平台应多样，信息公开渠道应丰富。</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机构按规定向业务主管单位</w:t>
      </w:r>
      <w:r>
        <w:rPr>
          <w:rFonts w:ascii="宋体" w:hAnsi="宋体" w:eastAsia="宋体"/>
        </w:rPr>
        <w:t>和</w:t>
      </w:r>
      <w:r>
        <w:rPr>
          <w:rFonts w:hint="eastAsia" w:ascii="宋体" w:hAnsi="宋体" w:eastAsia="宋体"/>
        </w:rPr>
        <w:t>登记管理机关编制并报送年度工作报告，年报内容真实。</w:t>
      </w:r>
    </w:p>
    <w:p>
      <w:pPr>
        <w:pStyle w:val="46"/>
        <w:numPr>
          <w:ilvl w:val="3"/>
          <w:numId w:val="0"/>
        </w:numPr>
        <w:spacing w:before="156" w:after="156"/>
        <w:ind w:firstLine="480"/>
        <w:rPr>
          <w:rFonts w:ascii="宋体" w:hAnsi="宋体" w:eastAsia="宋体"/>
        </w:rPr>
      </w:pPr>
      <w:r>
        <w:rPr>
          <w:rFonts w:hint="eastAsia" w:ascii="宋体" w:hAnsi="宋体" w:eastAsia="宋体"/>
        </w:rPr>
        <w:t>年报内容包括：基本情况；业务活动情况；组织机构情况；接受有关部门监督管理的情况；监事意见；履行信息公开义务的情况；财务会计报告等。</w:t>
      </w:r>
    </w:p>
    <w:p>
      <w:pPr>
        <w:pStyle w:val="46"/>
        <w:numPr>
          <w:ilvl w:val="3"/>
          <w:numId w:val="0"/>
        </w:numPr>
        <w:spacing w:before="156" w:after="156"/>
        <w:ind w:firstLine="480"/>
        <w:rPr>
          <w:rFonts w:ascii="宋体" w:hAnsi="宋体" w:eastAsia="宋体"/>
        </w:rPr>
      </w:pPr>
      <w:r>
        <w:rPr>
          <w:rFonts w:hint="eastAsia" w:ascii="宋体" w:hAnsi="宋体" w:eastAsia="宋体"/>
        </w:rPr>
        <w:t>如社会服务机构被认定为慈善组织，报告中还应包括年度开展募捐和接收捐赠情况、慈善财产的管理使用情况、慈善项目实施情况以及慈善组织工作人员的工资福利情况。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的</w:t>
      </w:r>
      <w:r>
        <w:rPr>
          <w:rFonts w:hint="eastAsia" w:ascii="宋体" w:hAnsi="宋体" w:eastAsia="宋体"/>
        </w:rPr>
        <w:t>年度工作报告应向社会公开。</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机构编制并报送年报资料时按照要求真实准确填写《党建情况表》。</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机构不得</w:t>
      </w:r>
      <w:r>
        <w:rPr>
          <w:rFonts w:ascii="宋体" w:hAnsi="宋体" w:eastAsia="宋体"/>
        </w:rPr>
        <w:t>公开</w:t>
      </w:r>
      <w:r>
        <w:rPr>
          <w:rFonts w:hint="eastAsia" w:ascii="宋体" w:hAnsi="宋体" w:eastAsia="宋体"/>
        </w:rPr>
        <w:t>涉及国家秘密、商业机密和个人隐私的信息以及法律、行政法规规定不予公开的其他信息。捐赠人不同意公开的信息，不得公开。</w:t>
      </w:r>
    </w:p>
    <w:p>
      <w:pPr>
        <w:pStyle w:val="157"/>
        <w:widowControl/>
        <w:numPr>
          <w:ilvl w:val="0"/>
          <w:numId w:val="18"/>
        </w:numPr>
        <w:spacing w:beforeLines="100" w:afterLines="100"/>
        <w:ind w:firstLineChars="0"/>
        <w:outlineLvl w:val="1"/>
        <w:rPr>
          <w:rFonts w:ascii="黑体" w:hAnsi="黑体" w:eastAsia="黑体"/>
        </w:rPr>
      </w:pPr>
      <w:bookmarkStart w:id="95" w:name="_Toc478734643"/>
      <w:r>
        <w:rPr>
          <w:rFonts w:hint="eastAsia" w:ascii="黑体" w:hAnsi="黑体" w:eastAsia="黑体"/>
        </w:rPr>
        <w:t>基金会评估指标</w:t>
      </w:r>
      <w:bookmarkEnd w:id="95"/>
    </w:p>
    <w:p>
      <w:pPr>
        <w:pStyle w:val="157"/>
        <w:widowControl/>
        <w:spacing w:beforeLines="100" w:afterLines="100"/>
        <w:ind w:firstLine="0" w:firstLineChars="0"/>
        <w:outlineLvl w:val="1"/>
        <w:rPr>
          <w:rFonts w:ascii="黑体" w:eastAsia="黑体"/>
          <w:vanish/>
          <w:kern w:val="0"/>
          <w:szCs w:val="20"/>
        </w:rPr>
      </w:pPr>
      <w:bookmarkStart w:id="96" w:name="_Toc478734644"/>
      <w:bookmarkEnd w:id="96"/>
      <w:bookmarkStart w:id="97" w:name="_Toc478717704"/>
      <w:bookmarkEnd w:id="97"/>
    </w:p>
    <w:p>
      <w:pPr>
        <w:pStyle w:val="47"/>
        <w:numPr>
          <w:ilvl w:val="1"/>
          <w:numId w:val="0"/>
        </w:numPr>
        <w:spacing w:before="156" w:after="156"/>
      </w:pPr>
      <w:bookmarkStart w:id="98" w:name="_Toc478734645"/>
      <w:r>
        <w:rPr>
          <w:rFonts w:hint="eastAsia"/>
        </w:rPr>
        <w:t>依法登记和接受监督</w:t>
      </w:r>
      <w:bookmarkEnd w:id="98"/>
    </w:p>
    <w:p>
      <w:pPr>
        <w:pStyle w:val="46"/>
        <w:spacing w:before="156" w:after="156"/>
        <w:rPr>
          <w:rFonts w:ascii="宋体" w:hAnsi="宋体" w:eastAsia="宋体"/>
        </w:rPr>
      </w:pPr>
      <w:r>
        <w:rPr>
          <w:rFonts w:hint="eastAsia" w:ascii="宋体" w:hAnsi="宋体" w:eastAsia="宋体"/>
        </w:rPr>
        <w:t>基金会应依法登记。基金会登记后应依法办理税务登记和纳税。</w:t>
      </w:r>
    </w:p>
    <w:p>
      <w:pPr>
        <w:pStyle w:val="46"/>
        <w:spacing w:before="156" w:after="156"/>
        <w:rPr>
          <w:rFonts w:ascii="宋体" w:hAnsi="宋体" w:eastAsia="宋体"/>
        </w:rPr>
      </w:pPr>
      <w:r>
        <w:rPr>
          <w:rFonts w:hint="eastAsia" w:ascii="宋体" w:hAnsi="宋体" w:eastAsia="宋体"/>
        </w:rPr>
        <w:t>基金会年末净资产不低于登记时的原始基金数额。</w:t>
      </w:r>
    </w:p>
    <w:p>
      <w:pPr>
        <w:pStyle w:val="46"/>
        <w:spacing w:before="156" w:after="156"/>
        <w:rPr>
          <w:rFonts w:ascii="宋体" w:hAnsi="宋体" w:eastAsia="宋体"/>
        </w:rPr>
      </w:pPr>
      <w:r>
        <w:rPr>
          <w:rFonts w:hint="eastAsia" w:ascii="宋体" w:hAnsi="宋体" w:eastAsia="宋体"/>
        </w:rPr>
        <w:t>基金会应有固定的住所，产权或租赁手续齐全，满足办公需要。基金会应具备相应的办公设备，且办公场所应悬挂单位名称牌匾。</w:t>
      </w:r>
    </w:p>
    <w:p>
      <w:pPr>
        <w:pStyle w:val="46"/>
        <w:spacing w:before="156" w:after="156"/>
        <w:rPr>
          <w:rFonts w:ascii="宋体" w:hAnsi="宋体" w:eastAsia="宋体"/>
        </w:rPr>
      </w:pPr>
      <w:r>
        <w:rPr>
          <w:rFonts w:hint="eastAsia" w:ascii="宋体" w:hAnsi="宋体" w:eastAsia="宋体"/>
        </w:rPr>
        <w:t>基金会章程制定和修改，应及时报登记管理机关核准。基金会按照报登记机关核准的章程开展工作。</w:t>
      </w:r>
    </w:p>
    <w:p>
      <w:pPr>
        <w:pStyle w:val="46"/>
        <w:spacing w:before="156" w:after="156"/>
        <w:rPr>
          <w:rFonts w:ascii="宋体" w:hAnsi="宋体" w:eastAsia="宋体"/>
        </w:rPr>
      </w:pPr>
      <w:r>
        <w:rPr>
          <w:rFonts w:hint="eastAsia" w:ascii="宋体" w:hAnsi="宋体" w:eastAsia="宋体"/>
        </w:rPr>
        <w:t>基金会组织机构代码证、税务登记证书、印章、负责人、银行开户证明等备案手续齐全，做到一届一备。</w:t>
      </w:r>
      <w:r>
        <w:rPr>
          <w:rFonts w:ascii="宋体" w:hAnsi="宋体" w:eastAsia="宋体"/>
        </w:rPr>
        <w:t xml:space="preserve"> </w:t>
      </w:r>
    </w:p>
    <w:p>
      <w:pPr>
        <w:pStyle w:val="46"/>
        <w:spacing w:before="156" w:after="156"/>
        <w:rPr>
          <w:rFonts w:ascii="宋体" w:hAnsi="宋体" w:eastAsia="宋体"/>
        </w:rPr>
      </w:pPr>
      <w:r>
        <w:rPr>
          <w:rFonts w:hint="eastAsia" w:ascii="宋体" w:hAnsi="宋体" w:eastAsia="宋体"/>
        </w:rPr>
        <w:t>基金会在登记管理机关和政府相关职能部门无任何违法行为记录。</w:t>
      </w:r>
    </w:p>
    <w:p>
      <w:pPr>
        <w:pStyle w:val="46"/>
        <w:spacing w:before="156" w:after="156"/>
        <w:rPr>
          <w:rFonts w:ascii="宋体" w:hAnsi="宋体" w:eastAsia="宋体"/>
        </w:rPr>
      </w:pPr>
      <w:r>
        <w:rPr>
          <w:rFonts w:hint="eastAsia" w:ascii="宋体" w:hAnsi="宋体" w:eastAsia="宋体"/>
        </w:rPr>
        <w:t>基金会在登记事项发生变更时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日内向登记管理机关申请变更登记。</w:t>
      </w:r>
    </w:p>
    <w:p>
      <w:pPr>
        <w:pStyle w:val="46"/>
        <w:spacing w:before="156" w:after="156"/>
        <w:rPr>
          <w:rFonts w:ascii="宋体" w:hAnsi="宋体" w:eastAsia="宋体"/>
        </w:rPr>
      </w:pPr>
      <w:r>
        <w:rPr>
          <w:rFonts w:hint="eastAsia" w:ascii="宋体" w:hAnsi="宋体" w:eastAsia="宋体"/>
        </w:rPr>
        <w:t>基金会不在登记管理机关的异常活动名录中。</w:t>
      </w:r>
    </w:p>
    <w:p>
      <w:pPr>
        <w:pStyle w:val="46"/>
        <w:spacing w:before="156" w:after="156"/>
        <w:rPr>
          <w:rFonts w:ascii="宋体" w:hAnsi="宋体" w:eastAsia="宋体"/>
        </w:rPr>
      </w:pPr>
      <w:r>
        <w:rPr>
          <w:rFonts w:hint="eastAsia" w:ascii="宋体" w:hAnsi="宋体" w:eastAsia="宋体"/>
        </w:rPr>
        <w:t>基金会的负责人应在任职前公示。基金会的法定代表人及负责人不得有以下情形：</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基金会的法定代表人不应同时担任其他组织的法定代表人。</w:t>
      </w:r>
    </w:p>
    <w:p>
      <w:pPr>
        <w:pStyle w:val="46"/>
        <w:spacing w:before="156" w:after="156"/>
        <w:rPr>
          <w:rFonts w:ascii="宋体" w:hAnsi="宋体" w:eastAsia="宋体"/>
        </w:rPr>
      </w:pPr>
      <w:r>
        <w:rPr>
          <w:rFonts w:hint="eastAsia" w:ascii="宋体" w:hAnsi="宋体" w:eastAsia="宋体"/>
        </w:rPr>
        <w:t>基金会的负责人应参与登记管理机关组织的培训活动。</w:t>
      </w:r>
    </w:p>
    <w:p>
      <w:pPr>
        <w:pStyle w:val="49"/>
      </w:pPr>
    </w:p>
    <w:p>
      <w:pPr>
        <w:pStyle w:val="47"/>
        <w:numPr>
          <w:ilvl w:val="1"/>
          <w:numId w:val="0"/>
        </w:numPr>
        <w:spacing w:before="156" w:after="156"/>
      </w:pPr>
      <w:bookmarkStart w:id="99" w:name="_Toc478734646"/>
      <w:r>
        <w:rPr>
          <w:rFonts w:hint="eastAsia"/>
        </w:rPr>
        <w:t>内部治理规范</w:t>
      </w:r>
      <w:bookmarkEnd w:id="99"/>
    </w:p>
    <w:p>
      <w:pPr>
        <w:pStyle w:val="46"/>
        <w:spacing w:before="156" w:after="156"/>
        <w:rPr>
          <w:rFonts w:ascii="宋体" w:hAnsi="宋体" w:eastAsia="宋体"/>
        </w:rPr>
      </w:pPr>
      <w:r>
        <w:rPr>
          <w:rFonts w:hint="eastAsia" w:ascii="宋体" w:hAnsi="宋体" w:eastAsia="宋体"/>
        </w:rPr>
        <w:t>基金会的法人治理结构应合理，应依照法规规章、规范性</w:t>
      </w:r>
      <w:r>
        <w:rPr>
          <w:rFonts w:ascii="宋体" w:hAnsi="宋体" w:eastAsia="宋体"/>
        </w:rPr>
        <w:t>文件、相关</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法定代表人和负责人的产生、罢免符合法规规章、</w:t>
      </w:r>
      <w:r>
        <w:rPr>
          <w:rFonts w:ascii="宋体" w:hAnsi="宋体" w:eastAsia="宋体"/>
        </w:rPr>
        <w:t>规范性文件、政策</w:t>
      </w:r>
      <w:r>
        <w:rPr>
          <w:rFonts w:hint="eastAsia" w:ascii="宋体" w:hAnsi="宋体" w:eastAsia="宋体"/>
        </w:rPr>
        <w:t>和章程的规定</w:t>
      </w:r>
    </w:p>
    <w:p>
      <w:pPr>
        <w:pStyle w:val="46"/>
        <w:spacing w:before="156" w:after="156"/>
        <w:rPr>
          <w:rFonts w:ascii="宋体" w:hAnsi="宋体" w:eastAsia="宋体"/>
        </w:rPr>
      </w:pPr>
      <w:r>
        <w:rPr>
          <w:rFonts w:hint="eastAsia" w:ascii="宋体" w:hAnsi="宋体" w:eastAsia="宋体"/>
        </w:rPr>
        <w:t>基金会按章程规定设立理事会，召开理事会会议，理事会发挥作用良好。</w:t>
      </w:r>
    </w:p>
    <w:p>
      <w:pPr>
        <w:pStyle w:val="46"/>
        <w:spacing w:before="156" w:after="156"/>
        <w:rPr>
          <w:rFonts w:ascii="宋体" w:hAnsi="宋体" w:eastAsia="宋体"/>
        </w:rPr>
      </w:pPr>
      <w:r>
        <w:rPr>
          <w:rFonts w:hint="eastAsia" w:ascii="宋体" w:hAnsi="宋体" w:eastAsia="宋体"/>
        </w:rPr>
        <w:t>基金会按章程规定设立监事或监事会，监事、监事会履行职责并发挥作用。</w:t>
      </w:r>
    </w:p>
    <w:p>
      <w:pPr>
        <w:pStyle w:val="46"/>
        <w:spacing w:before="156" w:after="156"/>
        <w:rPr>
          <w:rFonts w:ascii="宋体" w:hAnsi="宋体" w:eastAsia="宋体"/>
        </w:rPr>
      </w:pPr>
      <w:r>
        <w:rPr>
          <w:rFonts w:hint="eastAsia" w:ascii="宋体" w:hAnsi="宋体" w:eastAsia="宋体"/>
        </w:rPr>
        <w:t>基金会应建立健全内部监督机制，落实民主选举、民主决策和民主管理。</w:t>
      </w:r>
    </w:p>
    <w:p>
      <w:pPr>
        <w:pStyle w:val="46"/>
        <w:spacing w:before="156" w:after="156"/>
        <w:rPr>
          <w:rFonts w:ascii="宋体" w:hAnsi="宋体" w:eastAsia="宋体"/>
        </w:rPr>
      </w:pPr>
      <w:r>
        <w:rPr>
          <w:rFonts w:hint="eastAsia" w:ascii="宋体" w:hAnsi="宋体" w:eastAsia="宋体"/>
        </w:rPr>
        <w:t>基金会理事长、副理事长和秘书长不应由现职国家工作人员兼任。公募基金会和原始基金来自中国内地的非公募基金会的法定代表人，应当由内地居民担任。</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理事会、监事会（监事）、</w:t>
      </w:r>
      <w:r>
        <w:rPr>
          <w:rFonts w:ascii="宋体" w:hAnsi="宋体" w:eastAsia="宋体"/>
        </w:rPr>
        <w:t>秘书</w:t>
      </w:r>
      <w:r>
        <w:rPr>
          <w:rFonts w:hint="eastAsia" w:ascii="宋体" w:hAnsi="宋体" w:eastAsia="宋体"/>
        </w:rPr>
        <w:t>处的职权和运行应符合章程的规定。</w:t>
      </w:r>
    </w:p>
    <w:p>
      <w:pPr>
        <w:pStyle w:val="46"/>
        <w:spacing w:before="156" w:after="156"/>
        <w:rPr>
          <w:rFonts w:ascii="宋体" w:hAnsi="宋体" w:eastAsia="宋体"/>
        </w:rPr>
      </w:pPr>
      <w:r>
        <w:rPr>
          <w:rFonts w:hint="eastAsia" w:ascii="宋体" w:hAnsi="宋体" w:eastAsia="宋体"/>
        </w:rPr>
        <w:t>基金会应按照有关规定建立、健全党组织（党支部、党总支或党委）,或通过孵化等方式筹建党组织,或工作人员有加入党组织的渠道。党</w:t>
      </w:r>
      <w:r>
        <w:rPr>
          <w:rFonts w:ascii="宋体" w:hAnsi="宋体" w:eastAsia="宋体"/>
        </w:rPr>
        <w:t>组织参与</w:t>
      </w:r>
      <w:r>
        <w:rPr>
          <w:rFonts w:hint="eastAsia" w:ascii="宋体" w:hAnsi="宋体" w:eastAsia="宋体"/>
        </w:rPr>
        <w:t>基金会</w:t>
      </w:r>
      <w:r>
        <w:rPr>
          <w:rFonts w:ascii="宋体" w:hAnsi="宋体" w:eastAsia="宋体"/>
        </w:rPr>
        <w:t>重大问题</w:t>
      </w:r>
      <w:r>
        <w:rPr>
          <w:rFonts w:hint="eastAsia" w:ascii="宋体" w:hAnsi="宋体" w:eastAsia="宋体"/>
        </w:rPr>
        <w:t>的决策。</w:t>
      </w:r>
    </w:p>
    <w:p>
      <w:pPr>
        <w:pStyle w:val="46"/>
        <w:spacing w:before="156" w:after="156"/>
        <w:rPr>
          <w:rFonts w:ascii="宋体" w:hAnsi="宋体" w:eastAsia="宋体"/>
        </w:rPr>
      </w:pPr>
      <w:r>
        <w:rPr>
          <w:rFonts w:hint="eastAsia" w:ascii="宋体" w:hAnsi="宋体" w:eastAsia="宋体"/>
        </w:rPr>
        <w:t>基金会应有与开展业务活动相适应的专职工作人员。</w:t>
      </w:r>
    </w:p>
    <w:p>
      <w:pPr>
        <w:pStyle w:val="46"/>
        <w:spacing w:before="156" w:after="156"/>
        <w:rPr>
          <w:rFonts w:ascii="宋体" w:hAnsi="宋体" w:eastAsia="宋体"/>
        </w:rPr>
      </w:pPr>
      <w:r>
        <w:rPr>
          <w:rFonts w:hint="eastAsia" w:ascii="宋体" w:hAnsi="宋体" w:eastAsia="宋体"/>
        </w:rPr>
        <w:t>基金会应制定并执行负责人（秘书长）聘用管理制度，负责人（秘书长）具有管理协调能力。</w:t>
      </w:r>
    </w:p>
    <w:p>
      <w:pPr>
        <w:pStyle w:val="46"/>
        <w:spacing w:before="156" w:after="156"/>
        <w:rPr>
          <w:rFonts w:ascii="宋体" w:hAnsi="宋体" w:eastAsia="宋体"/>
        </w:rPr>
      </w:pPr>
      <w:r>
        <w:rPr>
          <w:rFonts w:hint="eastAsia" w:ascii="宋体" w:hAnsi="宋体" w:eastAsia="宋体"/>
        </w:rPr>
        <w:t>基金会应制定并执行工作人员聘用制度、任职制度、薪酬制度、考核制度和奖惩制度。</w:t>
      </w:r>
    </w:p>
    <w:p>
      <w:pPr>
        <w:pStyle w:val="46"/>
        <w:spacing w:before="156" w:after="156"/>
        <w:rPr>
          <w:rFonts w:ascii="宋体" w:hAnsi="宋体" w:eastAsia="宋体"/>
        </w:rPr>
      </w:pPr>
      <w:r>
        <w:rPr>
          <w:rFonts w:hint="eastAsia" w:ascii="宋体" w:hAnsi="宋体" w:eastAsia="宋体"/>
        </w:rPr>
        <w:t>基金会的机构运行和管理应体现公益价值理念。</w:t>
      </w:r>
    </w:p>
    <w:p>
      <w:pPr>
        <w:pStyle w:val="46"/>
        <w:spacing w:before="156" w:after="156"/>
        <w:rPr>
          <w:rFonts w:ascii="宋体" w:hAnsi="宋体" w:eastAsia="宋体"/>
        </w:rPr>
      </w:pPr>
      <w:r>
        <w:rPr>
          <w:rFonts w:hint="eastAsia" w:ascii="宋体" w:hAnsi="宋体" w:eastAsia="宋体"/>
        </w:rPr>
        <w:t>基金会应建立稳定的志愿者队伍，建立并执行志愿者招募及管理制度。</w:t>
      </w:r>
    </w:p>
    <w:p>
      <w:pPr>
        <w:pStyle w:val="46"/>
        <w:spacing w:before="156" w:after="156"/>
        <w:rPr>
          <w:rFonts w:ascii="宋体" w:hAnsi="宋体" w:eastAsia="宋体"/>
        </w:rPr>
      </w:pPr>
      <w:r>
        <w:rPr>
          <w:rFonts w:hint="eastAsia" w:ascii="宋体" w:hAnsi="宋体" w:eastAsia="宋体"/>
        </w:rPr>
        <w:t>基金会应建立并执行档案管理制度、证书管理制度、印章管理制度。</w:t>
      </w:r>
    </w:p>
    <w:p>
      <w:pPr>
        <w:pStyle w:val="46"/>
        <w:spacing w:before="156" w:after="156"/>
        <w:rPr>
          <w:rFonts w:ascii="宋体" w:hAnsi="宋体" w:eastAsia="宋体"/>
        </w:rPr>
      </w:pPr>
      <w:r>
        <w:rPr>
          <w:rFonts w:hint="eastAsia" w:ascii="宋体" w:hAnsi="宋体" w:eastAsia="宋体"/>
        </w:rPr>
        <w:t>基金会应建立重大事项和重大公益项目报告制度，如</w:t>
      </w:r>
      <w:r>
        <w:rPr>
          <w:rFonts w:ascii="宋体" w:hAnsi="宋体" w:eastAsia="宋体"/>
        </w:rPr>
        <w:t>发生</w:t>
      </w:r>
      <w:r>
        <w:rPr>
          <w:rFonts w:hint="eastAsia" w:ascii="宋体" w:hAnsi="宋体" w:eastAsia="宋体"/>
        </w:rPr>
        <w:t>重大</w:t>
      </w:r>
      <w:r>
        <w:rPr>
          <w:rFonts w:ascii="宋体" w:hAnsi="宋体" w:eastAsia="宋体"/>
        </w:rPr>
        <w:t>事项和重大公益项目</w:t>
      </w:r>
      <w:r>
        <w:rPr>
          <w:rFonts w:hint="eastAsia" w:ascii="宋体" w:hAnsi="宋体" w:eastAsia="宋体"/>
        </w:rPr>
        <w:t>应报相关主管单位备案。</w:t>
      </w:r>
    </w:p>
    <w:p>
      <w:pPr>
        <w:pStyle w:val="46"/>
        <w:spacing w:before="156" w:after="156"/>
        <w:rPr>
          <w:rFonts w:ascii="宋体" w:hAnsi="宋体" w:eastAsia="宋体"/>
        </w:rPr>
      </w:pPr>
      <w:r>
        <w:rPr>
          <w:rFonts w:hint="eastAsia" w:ascii="宋体" w:hAnsi="宋体" w:eastAsia="宋体"/>
        </w:rPr>
        <w:t>基金会应加强自身诚信自律建设，应建立诚信承诺制度。基金会应建立活动影响评估机制，</w:t>
      </w:r>
      <w:r>
        <w:rPr>
          <w:rFonts w:ascii="宋体" w:hAnsi="宋体" w:eastAsia="宋体"/>
        </w:rPr>
        <w:t>对</w:t>
      </w:r>
      <w:r>
        <w:rPr>
          <w:rFonts w:hint="eastAsia" w:ascii="宋体" w:hAnsi="宋体" w:eastAsia="宋体"/>
        </w:rPr>
        <w:t>可能</w:t>
      </w:r>
      <w:r>
        <w:rPr>
          <w:rFonts w:ascii="宋体" w:hAnsi="宋体" w:eastAsia="宋体"/>
        </w:rPr>
        <w:t>引发社会风险的重要事项应事</w:t>
      </w:r>
      <w:r>
        <w:rPr>
          <w:rFonts w:hint="eastAsia" w:ascii="宋体" w:hAnsi="宋体" w:eastAsia="宋体"/>
        </w:rPr>
        <w:t>先向</w:t>
      </w:r>
      <w:r>
        <w:rPr>
          <w:rFonts w:ascii="宋体" w:hAnsi="宋体" w:eastAsia="宋体"/>
        </w:rPr>
        <w:t>政府</w:t>
      </w:r>
      <w:r>
        <w:rPr>
          <w:rFonts w:hint="eastAsia" w:ascii="宋体" w:hAnsi="宋体" w:eastAsia="宋体"/>
        </w:rPr>
        <w:t>有关</w:t>
      </w:r>
      <w:r>
        <w:rPr>
          <w:rFonts w:ascii="宋体" w:hAnsi="宋体" w:eastAsia="宋体"/>
        </w:rPr>
        <w:t>部门报告</w:t>
      </w:r>
      <w:r>
        <w:rPr>
          <w:rFonts w:hint="eastAsia" w:ascii="宋体" w:hAnsi="宋体" w:eastAsia="宋体"/>
        </w:rPr>
        <w:t>。</w:t>
      </w:r>
    </w:p>
    <w:p>
      <w:pPr>
        <w:pStyle w:val="49"/>
      </w:pPr>
    </w:p>
    <w:p>
      <w:pPr>
        <w:pStyle w:val="47"/>
        <w:numPr>
          <w:ilvl w:val="1"/>
          <w:numId w:val="0"/>
        </w:numPr>
        <w:spacing w:before="156" w:after="156"/>
      </w:pPr>
      <w:bookmarkStart w:id="100" w:name="_Toc478734647"/>
      <w:r>
        <w:rPr>
          <w:rFonts w:hint="eastAsia"/>
        </w:rPr>
        <w:t>业务活动能力</w:t>
      </w:r>
      <w:bookmarkEnd w:id="100"/>
    </w:p>
    <w:p>
      <w:pPr>
        <w:pStyle w:val="46"/>
        <w:spacing w:before="156" w:after="156"/>
        <w:rPr>
          <w:rFonts w:ascii="宋体" w:hAnsi="宋体" w:eastAsia="宋体"/>
        </w:rPr>
      </w:pPr>
      <w:r>
        <w:rPr>
          <w:rFonts w:hint="eastAsia" w:ascii="宋体" w:hAnsi="宋体" w:eastAsia="宋体"/>
        </w:rPr>
        <w:t>基金会组织募捐、接受捐赠应符合法律、法规规章、规范性</w:t>
      </w:r>
      <w:r>
        <w:rPr>
          <w:rFonts w:ascii="宋体" w:hAnsi="宋体" w:eastAsia="宋体"/>
        </w:rPr>
        <w:t>文件</w:t>
      </w:r>
      <w:r>
        <w:rPr>
          <w:rFonts w:hint="eastAsia" w:ascii="宋体" w:hAnsi="宋体" w:eastAsia="宋体"/>
        </w:rPr>
        <w:t>和章程的规定。基金会开展资助活动和开展公益项目具有非盈利性，符合法律、法规规章、规范性</w:t>
      </w:r>
      <w:r>
        <w:rPr>
          <w:rFonts w:ascii="宋体" w:hAnsi="宋体" w:eastAsia="宋体"/>
        </w:rPr>
        <w:t>文件</w:t>
      </w:r>
      <w:r>
        <w:rPr>
          <w:rFonts w:hint="eastAsia" w:ascii="宋体" w:hAnsi="宋体" w:eastAsia="宋体"/>
        </w:rPr>
        <w:t>和章程的规定</w:t>
      </w:r>
    </w:p>
    <w:p>
      <w:pPr>
        <w:pStyle w:val="46"/>
        <w:spacing w:before="156" w:after="156"/>
        <w:rPr>
          <w:rFonts w:ascii="宋体" w:hAnsi="宋体" w:eastAsia="宋体"/>
        </w:rPr>
      </w:pPr>
      <w:r>
        <w:rPr>
          <w:rFonts w:hint="eastAsia" w:ascii="宋体" w:hAnsi="宋体" w:eastAsia="宋体"/>
        </w:rPr>
        <w:t>基金会逐年募集和接受资金（物资）总额达到法律、法规规章、</w:t>
      </w:r>
      <w:r>
        <w:rPr>
          <w:rFonts w:ascii="宋体" w:hAnsi="宋体" w:eastAsia="宋体"/>
        </w:rPr>
        <w:t>规范性文件</w:t>
      </w:r>
      <w:r>
        <w:rPr>
          <w:rFonts w:hint="eastAsia" w:ascii="宋体" w:hAnsi="宋体" w:eastAsia="宋体"/>
        </w:rPr>
        <w:t>和章程规定相应额度。基金会公益支出比例符合相关法律规定，公益事业支出增长额合理。</w:t>
      </w:r>
    </w:p>
    <w:p>
      <w:pPr>
        <w:pStyle w:val="46"/>
        <w:spacing w:before="156" w:after="156"/>
        <w:rPr>
          <w:rFonts w:ascii="宋体" w:hAnsi="宋体" w:eastAsia="宋体"/>
        </w:rPr>
      </w:pPr>
      <w:r>
        <w:rPr>
          <w:rFonts w:hint="eastAsia" w:ascii="宋体" w:hAnsi="宋体" w:eastAsia="宋体"/>
        </w:rPr>
        <w:t>基金会应制定完善的项目管理制度，项目运作规范。</w:t>
      </w:r>
    </w:p>
    <w:p>
      <w:pPr>
        <w:pStyle w:val="46"/>
        <w:spacing w:before="156" w:after="156"/>
        <w:rPr>
          <w:rFonts w:ascii="宋体" w:hAnsi="宋体" w:eastAsia="宋体"/>
        </w:rPr>
      </w:pPr>
      <w:r>
        <w:rPr>
          <w:rFonts w:hint="eastAsia" w:ascii="宋体" w:hAnsi="宋体" w:eastAsia="宋体"/>
        </w:rPr>
        <w:t>基金会应有</w:t>
      </w:r>
      <w:r>
        <w:rPr>
          <w:rFonts w:ascii="宋体" w:hAnsi="宋体" w:eastAsia="宋体"/>
        </w:rPr>
        <w:t>常规项目。</w:t>
      </w:r>
      <w:r>
        <w:rPr>
          <w:rFonts w:hint="eastAsia" w:ascii="宋体" w:hAnsi="宋体" w:eastAsia="宋体"/>
        </w:rPr>
        <w:t>基金会</w:t>
      </w:r>
      <w:r>
        <w:rPr>
          <w:rFonts w:ascii="宋体" w:hAnsi="宋体" w:eastAsia="宋体"/>
        </w:rPr>
        <w:t>开展的</w:t>
      </w:r>
      <w:r>
        <w:rPr>
          <w:rFonts w:hint="eastAsia" w:ascii="宋体" w:hAnsi="宋体" w:eastAsia="宋体"/>
        </w:rPr>
        <w:t>常规</w:t>
      </w:r>
      <w:r>
        <w:rPr>
          <w:rFonts w:ascii="宋体" w:hAnsi="宋体" w:eastAsia="宋体"/>
        </w:rPr>
        <w:t>项目</w:t>
      </w:r>
      <w:r>
        <w:rPr>
          <w:rFonts w:hint="eastAsia" w:ascii="宋体" w:hAnsi="宋体" w:eastAsia="宋体"/>
        </w:rPr>
        <w:t>有</w:t>
      </w:r>
      <w:r>
        <w:rPr>
          <w:rFonts w:ascii="宋体" w:hAnsi="宋体" w:eastAsia="宋体"/>
        </w:rPr>
        <w:t>合理数量，并</w:t>
      </w:r>
      <w:r>
        <w:rPr>
          <w:rFonts w:hint="eastAsia" w:ascii="宋体" w:hAnsi="宋体" w:eastAsia="宋体"/>
        </w:rPr>
        <w:t>具有较大的覆盖面和良好的社会影响。</w:t>
      </w:r>
    </w:p>
    <w:p>
      <w:pPr>
        <w:pStyle w:val="46"/>
        <w:spacing w:before="156" w:after="156"/>
        <w:rPr>
          <w:rFonts w:ascii="宋体" w:hAnsi="宋体" w:eastAsia="宋体"/>
        </w:rPr>
      </w:pPr>
      <w:r>
        <w:rPr>
          <w:rFonts w:hint="eastAsia" w:ascii="宋体" w:hAnsi="宋体" w:eastAsia="宋体"/>
        </w:rPr>
        <w:t>基金会接受捐赠，应与捐赠人明确权利和义务，根据捐赠人要求与其签订书面捐赠协议，明确捐赠具体使用方式，并应根据捐赠协议的约定使用。基金会接受捐赠的物资无法用于符合其宗旨的用途时，应依法拍卖或者变卖，所得收入用于捐赠目的。</w:t>
      </w:r>
    </w:p>
    <w:p>
      <w:pPr>
        <w:pStyle w:val="46"/>
        <w:spacing w:before="156" w:after="156"/>
        <w:rPr>
          <w:rFonts w:ascii="宋体" w:hAnsi="宋体" w:eastAsia="宋体"/>
        </w:rPr>
      </w:pPr>
      <w:r>
        <w:rPr>
          <w:rFonts w:hint="eastAsia" w:ascii="宋体" w:hAnsi="宋体" w:eastAsia="宋体"/>
        </w:rPr>
        <w:t>基金会提供资助，应与受助人签订资助协议，约定资助方式、资助数额以及资金用途和使用方式，并对资助的使用情况进行监督。基金会对受助人未按协议约定使用资助或者有其他违反协议情形的，应变更或解除资助协议。</w:t>
      </w:r>
    </w:p>
    <w:p>
      <w:pPr>
        <w:pStyle w:val="46"/>
        <w:spacing w:before="156" w:after="156"/>
        <w:rPr>
          <w:rFonts w:ascii="宋体" w:hAnsi="宋体" w:eastAsia="宋体"/>
        </w:rPr>
      </w:pPr>
      <w:r>
        <w:rPr>
          <w:rFonts w:hint="eastAsia" w:ascii="宋体" w:hAnsi="宋体" w:eastAsia="宋体"/>
        </w:rPr>
        <w:t>基金会与各级政府或有关</w:t>
      </w:r>
      <w:r>
        <w:rPr>
          <w:rFonts w:ascii="宋体" w:hAnsi="宋体" w:eastAsia="宋体"/>
        </w:rPr>
        <w:t>政府部门</w:t>
      </w:r>
      <w:r>
        <w:rPr>
          <w:rFonts w:hint="eastAsia" w:ascii="宋体" w:hAnsi="宋体" w:eastAsia="宋体"/>
        </w:rPr>
        <w:t>有合作开展捐赠资助、</w:t>
      </w:r>
      <w:r>
        <w:rPr>
          <w:rFonts w:ascii="宋体" w:hAnsi="宋体" w:eastAsia="宋体"/>
        </w:rPr>
        <w:t>宣传</w:t>
      </w:r>
      <w:r>
        <w:rPr>
          <w:rFonts w:hint="eastAsia" w:ascii="宋体" w:hAnsi="宋体" w:eastAsia="宋体"/>
        </w:rPr>
        <w:t>倡导等项目且受到肯定。</w:t>
      </w:r>
    </w:p>
    <w:p>
      <w:pPr>
        <w:pStyle w:val="46"/>
        <w:spacing w:before="156" w:after="156"/>
        <w:rPr>
          <w:rFonts w:ascii="宋体" w:hAnsi="宋体" w:eastAsia="宋体"/>
        </w:rPr>
      </w:pPr>
      <w:r>
        <w:rPr>
          <w:rFonts w:hint="eastAsia" w:ascii="宋体" w:hAnsi="宋体" w:eastAsia="宋体"/>
        </w:rPr>
        <w:t>基金会及基金会实施的项目受到国家媒体、省级媒体的报道和各级政府或</w:t>
      </w:r>
      <w:r>
        <w:rPr>
          <w:rFonts w:ascii="宋体" w:hAnsi="宋体" w:eastAsia="宋体"/>
        </w:rPr>
        <w:t>政府相关</w:t>
      </w:r>
      <w:r>
        <w:rPr>
          <w:rFonts w:hint="eastAsia" w:ascii="宋体" w:hAnsi="宋体" w:eastAsia="宋体"/>
        </w:rPr>
        <w:t>部门的表彰和奖励。</w:t>
      </w:r>
    </w:p>
    <w:p>
      <w:pPr>
        <w:pStyle w:val="46"/>
        <w:spacing w:before="156" w:after="156"/>
        <w:rPr>
          <w:rFonts w:ascii="宋体" w:hAnsi="宋体" w:eastAsia="宋体"/>
        </w:rPr>
      </w:pPr>
      <w:r>
        <w:rPr>
          <w:rFonts w:hint="eastAsia" w:ascii="宋体" w:hAnsi="宋体" w:eastAsia="宋体"/>
        </w:rPr>
        <w:t>基金会应在发起筹资、实施项目等各个环节，利用各种渠道、各种形式，宣传、普及公益理念。</w:t>
      </w:r>
    </w:p>
    <w:p>
      <w:pPr>
        <w:pStyle w:val="46"/>
        <w:spacing w:before="156" w:after="156"/>
        <w:rPr>
          <w:rFonts w:ascii="宋体" w:hAnsi="宋体" w:eastAsia="宋体"/>
        </w:rPr>
      </w:pPr>
      <w:r>
        <w:rPr>
          <w:rFonts w:hint="eastAsia" w:ascii="宋体" w:hAnsi="宋体" w:eastAsia="宋体"/>
        </w:rPr>
        <w:t>基金会应积极参加民政系统专业定点的社会组织教育培训活动。</w:t>
      </w:r>
    </w:p>
    <w:p>
      <w:pPr>
        <w:pStyle w:val="46"/>
        <w:spacing w:before="156" w:after="156"/>
        <w:rPr>
          <w:sz w:val="24"/>
          <w:szCs w:val="24"/>
        </w:rPr>
      </w:pPr>
      <w:r>
        <w:rPr>
          <w:rFonts w:hint="eastAsia" w:ascii="宋体" w:hAnsi="宋体" w:eastAsia="宋体"/>
        </w:rPr>
        <w:t>基金会应积极资助并开展创新性强，社会效益和社会影响力大的公益项目</w:t>
      </w:r>
      <w:r>
        <w:rPr>
          <w:rFonts w:hint="eastAsia"/>
          <w:sz w:val="24"/>
          <w:szCs w:val="24"/>
        </w:rPr>
        <w:t>。</w:t>
      </w:r>
    </w:p>
    <w:p>
      <w:pPr>
        <w:pStyle w:val="46"/>
        <w:spacing w:before="156" w:after="156"/>
        <w:rPr>
          <w:rFonts w:ascii="宋体" w:hAnsi="宋体" w:eastAsia="宋体"/>
        </w:rPr>
      </w:pPr>
      <w:r>
        <w:rPr>
          <w:rFonts w:hint="eastAsia" w:ascii="宋体" w:hAnsi="宋体" w:eastAsia="宋体"/>
        </w:rPr>
        <w:t>基金会的党组织活动正常，并按照上级党委要求开展党建工作。</w:t>
      </w:r>
    </w:p>
    <w:p>
      <w:pPr>
        <w:pStyle w:val="49"/>
      </w:pPr>
    </w:p>
    <w:p>
      <w:pPr>
        <w:pStyle w:val="47"/>
        <w:numPr>
          <w:ilvl w:val="1"/>
          <w:numId w:val="0"/>
        </w:numPr>
        <w:spacing w:before="156" w:after="156"/>
      </w:pPr>
      <w:bookmarkStart w:id="101" w:name="_Toc478734648"/>
      <w:r>
        <w:rPr>
          <w:rFonts w:hint="eastAsia"/>
        </w:rPr>
        <w:t>财务管理规范</w:t>
      </w:r>
      <w:bookmarkEnd w:id="101"/>
    </w:p>
    <w:p>
      <w:pPr>
        <w:pStyle w:val="46"/>
        <w:spacing w:before="156" w:after="156"/>
        <w:rPr>
          <w:rFonts w:ascii="宋体" w:hAnsi="宋体" w:eastAsia="宋体"/>
        </w:rPr>
      </w:pPr>
      <w:r>
        <w:rPr>
          <w:rFonts w:hint="eastAsia" w:ascii="宋体" w:hAnsi="宋体" w:eastAsia="宋体"/>
        </w:rPr>
        <w:t>基金会经费来源和资金</w:t>
      </w:r>
      <w:r>
        <w:rPr>
          <w:rFonts w:ascii="宋体" w:hAnsi="宋体" w:eastAsia="宋体"/>
        </w:rPr>
        <w:t>使用</w:t>
      </w:r>
      <w:r>
        <w:rPr>
          <w:rFonts w:hint="eastAsia" w:ascii="宋体" w:hAnsi="宋体" w:eastAsia="宋体"/>
        </w:rPr>
        <w:t>均应合法。基金会组织募捐、接受捐赠应符合章程规定的宗旨和业务范围，基金会使用财产应根据</w:t>
      </w:r>
      <w:r>
        <w:rPr>
          <w:rFonts w:ascii="宋体" w:hAnsi="宋体" w:eastAsia="宋体"/>
        </w:rPr>
        <w:t>章程规定的宗旨和业务范围。</w:t>
      </w:r>
    </w:p>
    <w:p>
      <w:pPr>
        <w:pStyle w:val="46"/>
        <w:spacing w:before="156" w:after="156"/>
        <w:rPr>
          <w:rFonts w:ascii="宋体" w:hAnsi="宋体" w:eastAsia="宋体"/>
        </w:rPr>
      </w:pPr>
      <w:r>
        <w:rPr>
          <w:rFonts w:hint="eastAsia" w:ascii="宋体" w:hAnsi="宋体" w:eastAsia="宋体"/>
        </w:rPr>
        <w:t>基金会开展公开募捐，应当依法取得公开募捐资格。基金会不得资助与公益慈善目的无关的营利性活动。</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银行</w:t>
      </w:r>
      <w:r>
        <w:rPr>
          <w:rFonts w:hint="eastAsia" w:ascii="宋体" w:hAnsi="宋体" w:eastAsia="宋体"/>
        </w:rPr>
        <w:t>账户</w:t>
      </w:r>
      <w:r>
        <w:rPr>
          <w:rFonts w:ascii="宋体" w:hAnsi="宋体" w:eastAsia="宋体"/>
        </w:rPr>
        <w:t>开立、使用和管理</w:t>
      </w:r>
      <w:r>
        <w:rPr>
          <w:rFonts w:hint="eastAsia" w:ascii="宋体" w:hAnsi="宋体" w:eastAsia="宋体"/>
        </w:rPr>
        <w:t>应</w:t>
      </w:r>
      <w:r>
        <w:rPr>
          <w:rFonts w:ascii="宋体" w:hAnsi="宋体" w:eastAsia="宋体"/>
        </w:rPr>
        <w:t>符合</w:t>
      </w:r>
      <w:r>
        <w:rPr>
          <w:rFonts w:hint="eastAsia" w:ascii="宋体" w:hAnsi="宋体" w:eastAsia="宋体"/>
        </w:rPr>
        <w:t>法律法规规章及</w:t>
      </w:r>
      <w:r>
        <w:rPr>
          <w:rFonts w:ascii="宋体" w:hAnsi="宋体" w:eastAsia="宋体"/>
        </w:rPr>
        <w:t>规范性文件等</w:t>
      </w:r>
      <w:r>
        <w:rPr>
          <w:rFonts w:hint="eastAsia" w:ascii="宋体" w:hAnsi="宋体" w:eastAsia="宋体"/>
        </w:rPr>
        <w:t>规定。</w:t>
      </w:r>
      <w:r>
        <w:rPr>
          <w:rFonts w:ascii="宋体" w:hAnsi="宋体" w:eastAsia="宋体"/>
        </w:rPr>
        <w:t>基金会</w:t>
      </w:r>
      <w:r>
        <w:rPr>
          <w:rFonts w:hint="eastAsia" w:ascii="宋体" w:hAnsi="宋体" w:eastAsia="宋体"/>
        </w:rPr>
        <w:t>的财产</w:t>
      </w:r>
      <w:r>
        <w:rPr>
          <w:rFonts w:ascii="宋体" w:hAnsi="宋体" w:eastAsia="宋体"/>
        </w:rPr>
        <w:t>不得利用任何个人和其他组织的账户存储。</w:t>
      </w:r>
    </w:p>
    <w:p>
      <w:pPr>
        <w:pStyle w:val="46"/>
        <w:spacing w:before="156" w:after="156"/>
        <w:rPr>
          <w:rFonts w:ascii="宋体" w:hAnsi="宋体" w:eastAsia="宋体"/>
        </w:rPr>
      </w:pPr>
      <w:r>
        <w:rPr>
          <w:rFonts w:hint="eastAsia" w:ascii="宋体" w:hAnsi="宋体" w:eastAsia="宋体"/>
        </w:rPr>
        <w:t>专</w:t>
      </w:r>
      <w:r>
        <w:rPr>
          <w:rFonts w:ascii="宋体" w:hAnsi="宋体" w:eastAsia="宋体"/>
        </w:rPr>
        <w:t>项基金</w:t>
      </w:r>
      <w:r>
        <w:rPr>
          <w:rFonts w:hint="eastAsia" w:ascii="宋体" w:hAnsi="宋体" w:eastAsia="宋体"/>
        </w:rPr>
        <w:t>应当</w:t>
      </w:r>
      <w:r>
        <w:rPr>
          <w:rFonts w:ascii="宋体" w:hAnsi="宋体" w:eastAsia="宋体"/>
        </w:rPr>
        <w:t>在基金会</w:t>
      </w:r>
      <w:r>
        <w:rPr>
          <w:rFonts w:hint="eastAsia" w:ascii="宋体" w:hAnsi="宋体" w:eastAsia="宋体"/>
        </w:rPr>
        <w:t>授权</w:t>
      </w:r>
      <w:r>
        <w:rPr>
          <w:rFonts w:ascii="宋体" w:hAnsi="宋体" w:eastAsia="宋体"/>
        </w:rPr>
        <w:t>的范围内，使用冠有所属基金会名称的规范全称开展活动，</w:t>
      </w:r>
      <w:r>
        <w:rPr>
          <w:rFonts w:hint="eastAsia" w:ascii="宋体" w:hAnsi="宋体" w:eastAsia="宋体"/>
        </w:rPr>
        <w:t>由</w:t>
      </w:r>
      <w:r>
        <w:rPr>
          <w:rFonts w:ascii="宋体" w:hAnsi="宋体" w:eastAsia="宋体"/>
        </w:rPr>
        <w:t>基金会承担法律责任。专项</w:t>
      </w:r>
      <w:r>
        <w:rPr>
          <w:rFonts w:hint="eastAsia" w:ascii="宋体" w:hAnsi="宋体" w:eastAsia="宋体"/>
        </w:rPr>
        <w:t>基金的</w:t>
      </w:r>
      <w:r>
        <w:rPr>
          <w:rFonts w:ascii="宋体" w:hAnsi="宋体" w:eastAsia="宋体"/>
        </w:rPr>
        <w:t>全部</w:t>
      </w:r>
      <w:r>
        <w:rPr>
          <w:rFonts w:hint="eastAsia" w:ascii="宋体" w:hAnsi="宋体" w:eastAsia="宋体"/>
        </w:rPr>
        <w:t>收支</w:t>
      </w:r>
      <w:r>
        <w:rPr>
          <w:rFonts w:ascii="宋体" w:hAnsi="宋体" w:eastAsia="宋体"/>
        </w:rPr>
        <w:t>应</w:t>
      </w:r>
      <w:r>
        <w:rPr>
          <w:rFonts w:hint="eastAsia" w:ascii="宋体" w:hAnsi="宋体" w:eastAsia="宋体"/>
        </w:rPr>
        <w:t>纳入</w:t>
      </w:r>
      <w:r>
        <w:rPr>
          <w:rFonts w:ascii="宋体" w:hAnsi="宋体" w:eastAsia="宋体"/>
        </w:rPr>
        <w:t>基金会财务统一核算。</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开展公益</w:t>
      </w:r>
      <w:r>
        <w:rPr>
          <w:rFonts w:hint="eastAsia" w:ascii="宋体" w:hAnsi="宋体" w:eastAsia="宋体"/>
        </w:rPr>
        <w:t>慈善</w:t>
      </w:r>
      <w:r>
        <w:rPr>
          <w:rFonts w:ascii="宋体" w:hAnsi="宋体" w:eastAsia="宋体"/>
        </w:rPr>
        <w:t>活动的年</w:t>
      </w:r>
      <w:r>
        <w:rPr>
          <w:rFonts w:hint="eastAsia" w:ascii="宋体" w:hAnsi="宋体" w:eastAsia="宋体"/>
        </w:rPr>
        <w:t>度</w:t>
      </w:r>
      <w:r>
        <w:rPr>
          <w:rFonts w:ascii="宋体" w:hAnsi="宋体" w:eastAsia="宋体"/>
        </w:rPr>
        <w:t>支出和管理费用的标准，符合国家有关规定。</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开展</w:t>
      </w:r>
      <w:r>
        <w:rPr>
          <w:rFonts w:hint="eastAsia" w:ascii="宋体" w:hAnsi="宋体" w:eastAsia="宋体"/>
        </w:rPr>
        <w:t>保值增值</w:t>
      </w:r>
      <w:r>
        <w:rPr>
          <w:rFonts w:ascii="宋体" w:hAnsi="宋体" w:eastAsia="宋体"/>
        </w:rPr>
        <w:t>活动</w:t>
      </w:r>
      <w:r>
        <w:rPr>
          <w:rFonts w:hint="eastAsia" w:ascii="宋体" w:hAnsi="宋体" w:eastAsia="宋体"/>
        </w:rPr>
        <w:t>，</w:t>
      </w:r>
      <w:r>
        <w:rPr>
          <w:rFonts w:ascii="宋体" w:hAnsi="宋体" w:eastAsia="宋体"/>
        </w:rPr>
        <w:t>应当遵守合法、安全、有效的</w:t>
      </w:r>
      <w:r>
        <w:rPr>
          <w:rFonts w:hint="eastAsia" w:ascii="宋体" w:hAnsi="宋体" w:eastAsia="宋体"/>
        </w:rPr>
        <w:t>原则</w:t>
      </w:r>
      <w:r>
        <w:rPr>
          <w:rFonts w:ascii="宋体" w:hAnsi="宋体" w:eastAsia="宋体"/>
        </w:rPr>
        <w:t>，确立投资</w:t>
      </w:r>
      <w:r>
        <w:rPr>
          <w:rFonts w:hint="eastAsia" w:ascii="宋体" w:hAnsi="宋体" w:eastAsia="宋体"/>
        </w:rPr>
        <w:t>风险</w:t>
      </w:r>
      <w:r>
        <w:rPr>
          <w:rFonts w:ascii="宋体" w:hAnsi="宋体" w:eastAsia="宋体"/>
        </w:rPr>
        <w:t>控制机制。</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w:t>
      </w:r>
      <w:r>
        <w:rPr>
          <w:rFonts w:hint="eastAsia" w:ascii="宋体" w:hAnsi="宋体" w:eastAsia="宋体"/>
        </w:rPr>
        <w:t>当</w:t>
      </w:r>
      <w:r>
        <w:rPr>
          <w:rFonts w:ascii="宋体" w:hAnsi="宋体" w:eastAsia="宋体"/>
        </w:rPr>
        <w:t>执行国家</w:t>
      </w:r>
      <w:r>
        <w:rPr>
          <w:rFonts w:hint="eastAsia" w:ascii="宋体" w:hAnsi="宋体" w:eastAsia="宋体"/>
        </w:rPr>
        <w:t>统一</w:t>
      </w:r>
      <w:r>
        <w:rPr>
          <w:rFonts w:ascii="宋体" w:hAnsi="宋体" w:eastAsia="宋体"/>
        </w:rPr>
        <w:t>的会计制度，建立</w:t>
      </w:r>
      <w:r>
        <w:rPr>
          <w:rFonts w:hint="eastAsia" w:ascii="宋体" w:hAnsi="宋体" w:eastAsia="宋体"/>
        </w:rPr>
        <w:t>健全</w:t>
      </w:r>
      <w:r>
        <w:rPr>
          <w:rFonts w:ascii="宋体" w:hAnsi="宋体" w:eastAsia="宋体"/>
        </w:rPr>
        <w:t>内部会计监督制度</w:t>
      </w:r>
      <w:r>
        <w:rPr>
          <w:rFonts w:hint="eastAsia" w:ascii="宋体" w:hAnsi="宋体" w:eastAsia="宋体"/>
        </w:rPr>
        <w:t>并</w:t>
      </w:r>
      <w:r>
        <w:rPr>
          <w:rFonts w:ascii="宋体" w:hAnsi="宋体" w:eastAsia="宋体"/>
        </w:rPr>
        <w:t>严格执行。</w:t>
      </w:r>
      <w:r>
        <w:rPr>
          <w:rFonts w:hint="eastAsia" w:ascii="宋体" w:hAnsi="宋体" w:eastAsia="宋体"/>
        </w:rPr>
        <w:t>基金会除</w:t>
      </w:r>
      <w:r>
        <w:rPr>
          <w:rFonts w:ascii="宋体" w:hAnsi="宋体" w:eastAsia="宋体"/>
        </w:rPr>
        <w:t>法定的会计</w:t>
      </w:r>
      <w:r>
        <w:rPr>
          <w:rFonts w:hint="eastAsia" w:ascii="宋体" w:hAnsi="宋体" w:eastAsia="宋体"/>
        </w:rPr>
        <w:t>账簿</w:t>
      </w:r>
      <w:r>
        <w:rPr>
          <w:rFonts w:ascii="宋体" w:hAnsi="宋体" w:eastAsia="宋体"/>
        </w:rPr>
        <w:t>外，不得</w:t>
      </w:r>
      <w:r>
        <w:rPr>
          <w:rFonts w:hint="eastAsia" w:ascii="宋体" w:hAnsi="宋体" w:eastAsia="宋体"/>
        </w:rPr>
        <w:t>另</w:t>
      </w:r>
      <w:r>
        <w:rPr>
          <w:rFonts w:ascii="宋体" w:hAnsi="宋体" w:eastAsia="宋体"/>
        </w:rPr>
        <w:t>立会计账簿。</w:t>
      </w:r>
    </w:p>
    <w:p>
      <w:pPr>
        <w:pStyle w:val="46"/>
        <w:spacing w:before="156" w:after="156"/>
        <w:rPr>
          <w:rFonts w:ascii="宋体" w:hAnsi="宋体" w:eastAsia="宋体"/>
        </w:rPr>
      </w:pPr>
      <w:r>
        <w:rPr>
          <w:rFonts w:hint="eastAsia" w:ascii="宋体" w:hAnsi="宋体" w:eastAsia="宋体"/>
        </w:rPr>
        <w:t>基金会应执行《民间非营利组织会计制度》，</w:t>
      </w:r>
      <w:r>
        <w:rPr>
          <w:rFonts w:ascii="宋体" w:hAnsi="宋体" w:eastAsia="宋体"/>
        </w:rPr>
        <w:t>依法进行</w:t>
      </w:r>
      <w:r>
        <w:rPr>
          <w:rFonts w:hint="eastAsia" w:ascii="宋体" w:hAnsi="宋体" w:eastAsia="宋体"/>
        </w:rPr>
        <w:t>会计</w:t>
      </w:r>
      <w:r>
        <w:rPr>
          <w:rFonts w:ascii="宋体" w:hAnsi="宋体" w:eastAsia="宋体"/>
        </w:rPr>
        <w:t>核算</w:t>
      </w:r>
      <w:r>
        <w:rPr>
          <w:rFonts w:hint="eastAsia" w:ascii="宋体" w:hAnsi="宋体" w:eastAsia="宋体"/>
        </w:rPr>
        <w:t>。对会计核算基础工作应加强</w:t>
      </w:r>
      <w:r>
        <w:rPr>
          <w:rFonts w:ascii="宋体" w:hAnsi="宋体" w:eastAsia="宋体"/>
        </w:rPr>
        <w:t>管理</w:t>
      </w:r>
      <w:r>
        <w:rPr>
          <w:rFonts w:hint="eastAsia" w:ascii="宋体" w:hAnsi="宋体" w:eastAsia="宋体"/>
        </w:rPr>
        <w:t>，所附原始凭证、填制记账凭证、登记账簿、编制会计报表应当规范。</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的年末净资产不得低于</w:t>
      </w:r>
      <w:r>
        <w:rPr>
          <w:rFonts w:hint="eastAsia" w:ascii="宋体" w:hAnsi="宋体" w:eastAsia="宋体"/>
        </w:rPr>
        <w:t>登记时</w:t>
      </w:r>
      <w:r>
        <w:rPr>
          <w:rFonts w:ascii="宋体" w:hAnsi="宋体" w:eastAsia="宋体"/>
        </w:rPr>
        <w:t>注册资金最低标准。</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应建立严格的</w:t>
      </w:r>
      <w:r>
        <w:rPr>
          <w:rFonts w:hint="eastAsia" w:ascii="宋体" w:hAnsi="宋体" w:eastAsia="宋体"/>
        </w:rPr>
        <w:t>财务</w:t>
      </w:r>
      <w:r>
        <w:rPr>
          <w:rFonts w:ascii="宋体" w:hAnsi="宋体" w:eastAsia="宋体"/>
        </w:rPr>
        <w:t>授权批准制度，明确审批的授权方式、权限、程序、</w:t>
      </w:r>
      <w:r>
        <w:rPr>
          <w:rFonts w:hint="eastAsia" w:ascii="宋体" w:hAnsi="宋体" w:eastAsia="宋体"/>
        </w:rPr>
        <w:t>责任</w:t>
      </w:r>
      <w:r>
        <w:rPr>
          <w:rFonts w:ascii="宋体" w:hAnsi="宋体" w:eastAsia="宋体"/>
        </w:rPr>
        <w:t>和</w:t>
      </w:r>
      <w:r>
        <w:rPr>
          <w:rFonts w:hint="eastAsia" w:ascii="宋体" w:hAnsi="宋体" w:eastAsia="宋体"/>
        </w:rPr>
        <w:t>相关</w:t>
      </w:r>
      <w:r>
        <w:rPr>
          <w:rFonts w:ascii="宋体" w:hAnsi="宋体" w:eastAsia="宋体"/>
        </w:rPr>
        <w:t>控制措施</w:t>
      </w:r>
      <w:r>
        <w:rPr>
          <w:rFonts w:hint="eastAsia" w:ascii="宋体" w:hAnsi="宋体" w:eastAsia="宋体"/>
        </w:rPr>
        <w:t>，执行</w:t>
      </w:r>
      <w:r>
        <w:rPr>
          <w:rFonts w:ascii="宋体" w:hAnsi="宋体" w:eastAsia="宋体"/>
        </w:rPr>
        <w:t>到位。</w:t>
      </w:r>
    </w:p>
    <w:p>
      <w:pPr>
        <w:pStyle w:val="46"/>
        <w:spacing w:before="156" w:after="156"/>
        <w:rPr>
          <w:rFonts w:ascii="宋体" w:hAnsi="宋体" w:eastAsia="宋体"/>
        </w:rPr>
      </w:pPr>
      <w:r>
        <w:rPr>
          <w:rFonts w:hint="eastAsia" w:ascii="宋体" w:hAnsi="宋体" w:eastAsia="宋体"/>
        </w:rPr>
        <w:t>基金</w:t>
      </w:r>
      <w:r>
        <w:rPr>
          <w:rFonts w:ascii="宋体" w:hAnsi="宋体" w:eastAsia="宋体"/>
        </w:rPr>
        <w:t>会的财产和其他合法收入</w:t>
      </w:r>
      <w:r>
        <w:rPr>
          <w:rFonts w:hint="eastAsia" w:ascii="宋体" w:hAnsi="宋体" w:eastAsia="宋体"/>
        </w:rPr>
        <w:t>受</w:t>
      </w:r>
      <w:r>
        <w:rPr>
          <w:rFonts w:ascii="宋体" w:hAnsi="宋体" w:eastAsia="宋体"/>
        </w:rPr>
        <w:t>法律保护，不得在发起人、捐赠人、理事、监事和工作人员中分</w:t>
      </w:r>
      <w:r>
        <w:rPr>
          <w:rFonts w:hint="eastAsia" w:ascii="宋体" w:hAnsi="宋体" w:eastAsia="宋体"/>
        </w:rPr>
        <w:t>配</w:t>
      </w:r>
      <w:r>
        <w:rPr>
          <w:rFonts w:ascii="宋体" w:hAnsi="宋体" w:eastAsia="宋体"/>
        </w:rPr>
        <w:t>。</w:t>
      </w:r>
      <w:r>
        <w:rPr>
          <w:rFonts w:hint="eastAsia" w:ascii="宋体" w:hAnsi="宋体" w:eastAsia="宋体"/>
        </w:rPr>
        <w:t>任何</w:t>
      </w:r>
      <w:r>
        <w:rPr>
          <w:rFonts w:ascii="宋体" w:hAnsi="宋体" w:eastAsia="宋体"/>
        </w:rPr>
        <w:t>组织和个人不得</w:t>
      </w:r>
      <w:r>
        <w:rPr>
          <w:rFonts w:hint="eastAsia" w:ascii="宋体" w:hAnsi="宋体" w:eastAsia="宋体"/>
        </w:rPr>
        <w:t>私分</w:t>
      </w:r>
      <w:r>
        <w:rPr>
          <w:rFonts w:ascii="宋体" w:hAnsi="宋体" w:eastAsia="宋体"/>
        </w:rPr>
        <w:t>、挪用、截留、</w:t>
      </w:r>
      <w:r>
        <w:rPr>
          <w:rFonts w:hint="eastAsia" w:ascii="宋体" w:hAnsi="宋体" w:eastAsia="宋体"/>
        </w:rPr>
        <w:t>侵占</w:t>
      </w:r>
      <w:r>
        <w:rPr>
          <w:rFonts w:ascii="宋体" w:hAnsi="宋体" w:eastAsia="宋体"/>
        </w:rPr>
        <w:t>基金会财产。</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各类资产的购置和处置应履行严格的审批程序，资产应当建立登记管理台账。</w:t>
      </w:r>
    </w:p>
    <w:p>
      <w:pPr>
        <w:pStyle w:val="46"/>
        <w:spacing w:before="156" w:after="156"/>
        <w:rPr>
          <w:rFonts w:ascii="宋体" w:hAnsi="宋体" w:eastAsia="宋体"/>
        </w:rPr>
      </w:pPr>
      <w:r>
        <w:rPr>
          <w:rFonts w:hint="eastAsia" w:ascii="宋体" w:hAnsi="宋体" w:eastAsia="宋体"/>
        </w:rPr>
        <w:t>基金会应按税收法律及</w:t>
      </w:r>
      <w:r>
        <w:rPr>
          <w:rFonts w:ascii="宋体" w:hAnsi="宋体" w:eastAsia="宋体"/>
        </w:rPr>
        <w:t>相关规定</w:t>
      </w:r>
      <w:r>
        <w:rPr>
          <w:rFonts w:hint="eastAsia" w:ascii="宋体" w:hAnsi="宋体" w:eastAsia="宋体"/>
        </w:rPr>
        <w:t>进行</w:t>
      </w:r>
      <w:r>
        <w:rPr>
          <w:rFonts w:ascii="宋体" w:hAnsi="宋体" w:eastAsia="宋体"/>
        </w:rPr>
        <w:t>各种</w:t>
      </w:r>
      <w:r>
        <w:rPr>
          <w:rFonts w:hint="eastAsia" w:ascii="宋体" w:hAnsi="宋体" w:eastAsia="宋体"/>
        </w:rPr>
        <w:t>税</w:t>
      </w:r>
      <w:r>
        <w:rPr>
          <w:rFonts w:ascii="宋体" w:hAnsi="宋体" w:eastAsia="宋体"/>
        </w:rPr>
        <w:t>项</w:t>
      </w:r>
      <w:r>
        <w:rPr>
          <w:rFonts w:hint="eastAsia" w:ascii="宋体" w:hAnsi="宋体" w:eastAsia="宋体"/>
        </w:rPr>
        <w:t>的</w:t>
      </w:r>
      <w:r>
        <w:rPr>
          <w:rFonts w:ascii="宋体" w:hAnsi="宋体" w:eastAsia="宋体"/>
        </w:rPr>
        <w:t>申报和缴纳</w:t>
      </w:r>
      <w:r>
        <w:rPr>
          <w:rFonts w:hint="eastAsia" w:ascii="宋体" w:hAnsi="宋体" w:eastAsia="宋体"/>
        </w:rPr>
        <w:t>。基金会</w:t>
      </w:r>
      <w:r>
        <w:rPr>
          <w:rFonts w:ascii="宋体" w:hAnsi="宋体" w:eastAsia="宋体"/>
        </w:rPr>
        <w:t>应</w:t>
      </w:r>
      <w:r>
        <w:rPr>
          <w:rFonts w:hint="eastAsia" w:ascii="宋体" w:hAnsi="宋体" w:eastAsia="宋体"/>
        </w:rPr>
        <w:t>根据财政部、国家税务总局规定申请减免征税的资格，到税务主管部门申请办理免税资格。个人所得应依法办理纳税申报。</w:t>
      </w:r>
    </w:p>
    <w:p>
      <w:pPr>
        <w:pStyle w:val="46"/>
        <w:spacing w:before="156" w:after="156"/>
        <w:rPr>
          <w:rFonts w:ascii="宋体" w:hAnsi="宋体" w:eastAsia="宋体"/>
        </w:rPr>
      </w:pPr>
      <w:r>
        <w:rPr>
          <w:rFonts w:hint="eastAsia" w:ascii="宋体" w:hAnsi="宋体" w:eastAsia="宋体"/>
        </w:rPr>
        <w:t>基金会依据规定到票据管理部门申请办理票据领购手续。税务和财政票据实行专人管理，有领用、使用、核销登记台账。</w:t>
      </w:r>
    </w:p>
    <w:p>
      <w:pPr>
        <w:pStyle w:val="46"/>
        <w:spacing w:before="156" w:after="156"/>
        <w:rPr>
          <w:rFonts w:ascii="宋体" w:hAnsi="宋体" w:eastAsia="宋体"/>
        </w:rPr>
      </w:pPr>
      <w:r>
        <w:rPr>
          <w:rFonts w:hint="eastAsia" w:ascii="宋体" w:hAnsi="宋体" w:eastAsia="宋体"/>
        </w:rPr>
        <w:t>基金会对相关业务应使用正规的税务、财政票据。</w:t>
      </w:r>
    </w:p>
    <w:p>
      <w:pPr>
        <w:pStyle w:val="46"/>
        <w:spacing w:before="156" w:after="156"/>
        <w:rPr>
          <w:rFonts w:ascii="宋体" w:hAnsi="宋体" w:eastAsia="宋体"/>
        </w:rPr>
      </w:pPr>
      <w:r>
        <w:rPr>
          <w:rFonts w:hint="eastAsia" w:ascii="宋体" w:hAnsi="宋体" w:eastAsia="宋体"/>
        </w:rPr>
        <w:t>基金会年度经费收支预决算及执行情况以及重大募捐</w:t>
      </w:r>
      <w:r>
        <w:rPr>
          <w:rFonts w:ascii="宋体" w:hAnsi="宋体" w:eastAsia="宋体"/>
        </w:rPr>
        <w:t>、</w:t>
      </w:r>
      <w:r>
        <w:rPr>
          <w:rFonts w:hint="eastAsia" w:ascii="宋体" w:hAnsi="宋体" w:eastAsia="宋体"/>
        </w:rPr>
        <w:t>投资活动，应及时向理事会报告。基金会应主动接受监事会</w:t>
      </w:r>
      <w:r>
        <w:rPr>
          <w:rFonts w:ascii="宋体" w:hAnsi="宋体" w:eastAsia="宋体"/>
        </w:rPr>
        <w:t>、</w:t>
      </w:r>
      <w:r>
        <w:rPr>
          <w:rFonts w:hint="eastAsia" w:ascii="宋体" w:hAnsi="宋体" w:eastAsia="宋体"/>
        </w:rPr>
        <w:t>监事对财务和</w:t>
      </w:r>
      <w:r>
        <w:rPr>
          <w:rFonts w:ascii="宋体" w:hAnsi="宋体" w:eastAsia="宋体"/>
        </w:rPr>
        <w:t>会计资料</w:t>
      </w:r>
      <w:r>
        <w:rPr>
          <w:rFonts w:hint="eastAsia" w:ascii="宋体" w:hAnsi="宋体" w:eastAsia="宋体"/>
        </w:rPr>
        <w:t>的检查监督，</w:t>
      </w:r>
      <w:r>
        <w:rPr>
          <w:rFonts w:ascii="宋体" w:hAnsi="宋体" w:eastAsia="宋体"/>
        </w:rPr>
        <w:t>并接受捐款人</w:t>
      </w:r>
      <w:r>
        <w:rPr>
          <w:rFonts w:hint="eastAsia" w:ascii="宋体" w:hAnsi="宋体" w:eastAsia="宋体"/>
        </w:rPr>
        <w:t>查询</w:t>
      </w:r>
      <w:r>
        <w:rPr>
          <w:rFonts w:ascii="宋体" w:hAnsi="宋体" w:eastAsia="宋体"/>
        </w:rPr>
        <w:t>、检查和</w:t>
      </w:r>
      <w:r>
        <w:rPr>
          <w:rFonts w:hint="eastAsia" w:ascii="宋体" w:hAnsi="宋体" w:eastAsia="宋体"/>
        </w:rPr>
        <w:t>监督。</w:t>
      </w:r>
    </w:p>
    <w:p>
      <w:pPr>
        <w:pStyle w:val="46"/>
        <w:spacing w:before="156" w:after="156"/>
        <w:rPr>
          <w:rFonts w:ascii="宋体" w:hAnsi="宋体" w:eastAsia="宋体"/>
        </w:rPr>
      </w:pPr>
      <w:r>
        <w:rPr>
          <w:rFonts w:hint="eastAsia" w:ascii="宋体" w:hAnsi="宋体" w:eastAsia="宋体"/>
        </w:rPr>
        <w:t>基金会应在每一会计年度终了时编制并向</w:t>
      </w:r>
      <w:r>
        <w:rPr>
          <w:rFonts w:ascii="宋体" w:hAnsi="宋体" w:eastAsia="宋体"/>
        </w:rPr>
        <w:t>登记管理机关报送</w:t>
      </w:r>
      <w:r>
        <w:rPr>
          <w:rFonts w:hint="eastAsia" w:ascii="宋体" w:hAnsi="宋体" w:eastAsia="宋体"/>
        </w:rPr>
        <w:t>财务会计报告。具有公开募捐资格的基金会的财务会计报告须经审计。</w:t>
      </w:r>
    </w:p>
    <w:p>
      <w:pPr>
        <w:pStyle w:val="46"/>
        <w:spacing w:before="156" w:after="156"/>
        <w:rPr>
          <w:rFonts w:ascii="宋体" w:hAnsi="宋体" w:eastAsia="宋体"/>
        </w:rPr>
      </w:pPr>
      <w:r>
        <w:rPr>
          <w:rFonts w:hint="eastAsia" w:ascii="宋体" w:hAnsi="宋体" w:eastAsia="宋体"/>
        </w:rPr>
        <w:t>基金会在理事会换届和更换法定代表人之前，应当委托会计师事务所进行财务审计。</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应聘请会计师事务所对本单位</w:t>
      </w:r>
      <w:r>
        <w:rPr>
          <w:rFonts w:hint="eastAsia" w:ascii="宋体" w:hAnsi="宋体" w:eastAsia="宋体"/>
        </w:rPr>
        <w:t>的</w:t>
      </w:r>
      <w:r>
        <w:rPr>
          <w:rFonts w:ascii="宋体" w:hAnsi="宋体" w:eastAsia="宋体"/>
        </w:rPr>
        <w:t>财务会计报告及相关信息进行</w:t>
      </w:r>
      <w:r>
        <w:rPr>
          <w:rFonts w:hint="eastAsia" w:ascii="宋体" w:hAnsi="宋体" w:eastAsia="宋体"/>
        </w:rPr>
        <w:t>年度</w:t>
      </w:r>
      <w:r>
        <w:rPr>
          <w:rFonts w:ascii="宋体" w:hAnsi="宋体" w:eastAsia="宋体"/>
        </w:rPr>
        <w:t>审计，依法披露</w:t>
      </w:r>
      <w:r>
        <w:rPr>
          <w:rFonts w:hint="eastAsia" w:ascii="宋体" w:hAnsi="宋体" w:eastAsia="宋体"/>
        </w:rPr>
        <w:t>财务</w:t>
      </w:r>
      <w:r>
        <w:rPr>
          <w:rFonts w:ascii="宋体" w:hAnsi="宋体" w:eastAsia="宋体"/>
        </w:rPr>
        <w:t>会计报告和</w:t>
      </w:r>
      <w:r>
        <w:rPr>
          <w:rFonts w:hint="eastAsia" w:ascii="宋体" w:hAnsi="宋体" w:eastAsia="宋体"/>
        </w:rPr>
        <w:t>审计</w:t>
      </w:r>
      <w:r>
        <w:rPr>
          <w:rFonts w:ascii="宋体" w:hAnsi="宋体" w:eastAsia="宋体"/>
        </w:rPr>
        <w:t>报告，接受社会</w:t>
      </w:r>
      <w:r>
        <w:rPr>
          <w:rFonts w:hint="eastAsia" w:ascii="宋体" w:hAnsi="宋体" w:eastAsia="宋体"/>
        </w:rPr>
        <w:t>公众</w:t>
      </w:r>
      <w:r>
        <w:rPr>
          <w:rFonts w:ascii="宋体" w:hAnsi="宋体" w:eastAsia="宋体"/>
        </w:rPr>
        <w:t>监督。</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会计人员、出纳应分设且有从业证书，财务负责人具备相应的财务管理知识和技能，且与会计人员分工明确。未设置专门财会人员的，应委托有资质的代理记账中介机构进行代理记账工作，并经理事会会议审议。</w:t>
      </w:r>
    </w:p>
    <w:p>
      <w:pPr>
        <w:pStyle w:val="46"/>
        <w:spacing w:before="156" w:after="156"/>
        <w:rPr>
          <w:rFonts w:ascii="宋体" w:hAnsi="宋体" w:eastAsia="宋体"/>
        </w:rPr>
      </w:pPr>
      <w:r>
        <w:rPr>
          <w:rFonts w:hint="eastAsia" w:ascii="宋体" w:hAnsi="宋体" w:eastAsia="宋体"/>
        </w:rPr>
        <w:t>基金会会计人员调动时，应办理对财务资料交接手续，建立规范的档案管理制度，加强会计档案管理。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基金会年度捐赠收入稳定或持续增长；年度公益支出稳定或持续增长。</w:t>
      </w:r>
    </w:p>
    <w:p>
      <w:pPr>
        <w:pStyle w:val="49"/>
        <w:ind w:firstLine="0" w:firstLineChars="0"/>
        <w:rPr>
          <w:rFonts w:hAnsi="宋体"/>
        </w:rPr>
      </w:pPr>
    </w:p>
    <w:p>
      <w:pPr>
        <w:pStyle w:val="47"/>
        <w:numPr>
          <w:ilvl w:val="1"/>
          <w:numId w:val="0"/>
        </w:numPr>
        <w:spacing w:before="156" w:after="156"/>
        <w:rPr>
          <w:rFonts w:hAnsi="宋体"/>
        </w:rPr>
      </w:pPr>
      <w:bookmarkStart w:id="102" w:name="_Toc478734649"/>
      <w:r>
        <w:rPr>
          <w:rFonts w:hint="eastAsia" w:hAnsi="宋体"/>
        </w:rPr>
        <w:t>信息公开规范</w:t>
      </w:r>
      <w:bookmarkEnd w:id="102"/>
    </w:p>
    <w:p>
      <w:pPr>
        <w:pStyle w:val="46"/>
        <w:spacing w:before="156" w:after="156"/>
        <w:rPr>
          <w:rFonts w:ascii="宋体" w:hAnsi="宋体" w:eastAsia="宋体"/>
        </w:rPr>
      </w:pPr>
      <w:r>
        <w:rPr>
          <w:rFonts w:hint="eastAsia" w:ascii="宋体" w:hAnsi="宋体" w:eastAsia="宋体"/>
        </w:rPr>
        <w:t>基金会应建立健全信息公开制度，依法履行信息公开义务。信息公开应真实、完整、及时，便于公众获取，无虚假记载、误导性陈述或者重大遗漏。</w:t>
      </w:r>
    </w:p>
    <w:p>
      <w:pPr>
        <w:pStyle w:val="46"/>
        <w:spacing w:before="156" w:after="156"/>
        <w:rPr>
          <w:rFonts w:ascii="宋体" w:hAnsi="宋体" w:eastAsia="宋体"/>
        </w:rPr>
      </w:pPr>
      <w:r>
        <w:rPr>
          <w:rFonts w:hint="eastAsia" w:ascii="宋体" w:hAnsi="宋体" w:eastAsia="宋体"/>
        </w:rPr>
        <w:t>基金会指定专人负责处理信息公布的有关事务，及时公开信息，频次符合管理要求。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基金会对于已经公开的信息，应制作信息公开档案，妥善保管。</w:t>
      </w:r>
    </w:p>
    <w:p>
      <w:pPr>
        <w:pStyle w:val="46"/>
        <w:spacing w:before="156" w:after="156"/>
        <w:rPr>
          <w:rFonts w:ascii="宋体" w:hAnsi="宋体" w:eastAsia="宋体"/>
        </w:rPr>
      </w:pPr>
      <w:r>
        <w:rPr>
          <w:rFonts w:hint="eastAsia" w:ascii="宋体" w:hAnsi="宋体" w:eastAsia="宋体"/>
        </w:rPr>
        <w:t>基金会捐赠给受助人及资助受助人的项目内容应及时公开。慈善项目实施周期超过六个月的，至少每三个月公开一次项目实施情况，项目结束后三个月内应当全面公开项目实施情况和募得款物使用情况。</w:t>
      </w:r>
    </w:p>
    <w:p>
      <w:pPr>
        <w:pStyle w:val="46"/>
        <w:spacing w:before="156" w:after="156"/>
        <w:rPr>
          <w:rFonts w:ascii="宋体" w:hAnsi="宋体" w:eastAsia="宋体"/>
        </w:rPr>
      </w:pPr>
      <w:r>
        <w:rPr>
          <w:rFonts w:hint="eastAsia" w:ascii="宋体" w:hAnsi="宋体" w:eastAsia="宋体"/>
        </w:rPr>
        <w:t>基金会组织机构内容应及时公开，内容包括：</w:t>
      </w:r>
    </w:p>
    <w:p>
      <w:pPr>
        <w:pStyle w:val="49"/>
        <w:rPr>
          <w:rFonts w:hAnsi="宋体"/>
          <w:szCs w:val="21"/>
        </w:rPr>
      </w:pPr>
      <w:r>
        <w:rPr>
          <w:rFonts w:hint="eastAsia" w:hAnsi="宋体"/>
          <w:szCs w:val="21"/>
        </w:rPr>
        <w:t>a</w:t>
      </w:r>
      <w:r>
        <w:rPr>
          <w:rFonts w:hAnsi="宋体"/>
          <w:szCs w:val="21"/>
        </w:rPr>
        <w:t>)</w:t>
      </w:r>
      <w:r>
        <w:rPr>
          <w:rFonts w:hint="eastAsia" w:hAnsi="宋体"/>
          <w:szCs w:val="21"/>
        </w:rPr>
        <w:t>登记事项；</w:t>
      </w:r>
    </w:p>
    <w:p>
      <w:pPr>
        <w:pStyle w:val="49"/>
        <w:rPr>
          <w:rFonts w:hAnsi="宋体"/>
          <w:szCs w:val="21"/>
        </w:rPr>
      </w:pPr>
      <w:r>
        <w:rPr>
          <w:rFonts w:hint="eastAsia" w:hAnsi="宋体"/>
          <w:szCs w:val="21"/>
        </w:rPr>
        <w:t>b)是否具有公开募捐资格；</w:t>
      </w:r>
    </w:p>
    <w:p>
      <w:pPr>
        <w:pStyle w:val="49"/>
        <w:rPr>
          <w:rFonts w:hAnsi="宋体"/>
          <w:szCs w:val="21"/>
        </w:rPr>
      </w:pPr>
      <w:r>
        <w:rPr>
          <w:rFonts w:hint="eastAsia" w:hAnsi="宋体"/>
          <w:szCs w:val="21"/>
        </w:rPr>
        <w:t>c)章程；</w:t>
      </w:r>
    </w:p>
    <w:p>
      <w:pPr>
        <w:pStyle w:val="49"/>
        <w:rPr>
          <w:rFonts w:hAnsi="宋体"/>
          <w:szCs w:val="21"/>
        </w:rPr>
      </w:pPr>
      <w:r>
        <w:rPr>
          <w:rFonts w:hint="eastAsia" w:hAnsi="宋体"/>
          <w:szCs w:val="21"/>
        </w:rPr>
        <w:t>d)决策执行监督机构成员信息；</w:t>
      </w:r>
    </w:p>
    <w:p>
      <w:pPr>
        <w:pStyle w:val="49"/>
        <w:rPr>
          <w:rFonts w:hAnsi="宋体"/>
          <w:szCs w:val="21"/>
        </w:rPr>
      </w:pPr>
      <w:r>
        <w:rPr>
          <w:rFonts w:hAnsi="宋体"/>
          <w:szCs w:val="21"/>
        </w:rPr>
        <w:t>e)</w:t>
      </w:r>
      <w:r>
        <w:rPr>
          <w:rFonts w:hint="eastAsia" w:hAnsi="宋体"/>
          <w:szCs w:val="21"/>
        </w:rPr>
        <w:t>专项基金等分支机构信息；</w:t>
      </w:r>
    </w:p>
    <w:p>
      <w:pPr>
        <w:pStyle w:val="49"/>
        <w:rPr>
          <w:rFonts w:hAnsi="宋体"/>
          <w:szCs w:val="21"/>
        </w:rPr>
      </w:pPr>
      <w:r>
        <w:rPr>
          <w:rFonts w:hAnsi="宋体"/>
          <w:szCs w:val="21"/>
        </w:rPr>
        <w:t>f)</w:t>
      </w:r>
      <w:r>
        <w:rPr>
          <w:rFonts w:hint="eastAsia" w:hAnsi="宋体"/>
          <w:szCs w:val="21"/>
        </w:rPr>
        <w:t>是否具有慈善信托备案项目；</w:t>
      </w:r>
    </w:p>
    <w:p>
      <w:pPr>
        <w:pStyle w:val="49"/>
        <w:rPr>
          <w:rFonts w:hAnsi="宋体"/>
          <w:szCs w:val="21"/>
        </w:rPr>
      </w:pPr>
      <w:r>
        <w:rPr>
          <w:rFonts w:hAnsi="宋体"/>
          <w:szCs w:val="21"/>
        </w:rPr>
        <w:t>g)</w:t>
      </w:r>
      <w:r>
        <w:rPr>
          <w:rFonts w:hint="eastAsia" w:hAnsi="宋体"/>
          <w:szCs w:val="21"/>
        </w:rPr>
        <w:t>是否具有公益性捐赠税前扣除票据资格；</w:t>
      </w:r>
    </w:p>
    <w:p>
      <w:pPr>
        <w:pStyle w:val="49"/>
        <w:rPr>
          <w:rFonts w:hAnsi="宋体"/>
          <w:szCs w:val="21"/>
        </w:rPr>
      </w:pPr>
      <w:r>
        <w:rPr>
          <w:rFonts w:hint="eastAsia" w:hAnsi="宋体"/>
          <w:szCs w:val="21"/>
        </w:rPr>
        <w:t>h)是否享受税收优惠及资助补贴；</w:t>
      </w:r>
    </w:p>
    <w:p>
      <w:pPr>
        <w:pStyle w:val="49"/>
        <w:rPr>
          <w:rFonts w:hAnsi="宋体"/>
          <w:szCs w:val="21"/>
        </w:rPr>
      </w:pPr>
      <w:r>
        <w:rPr>
          <w:rFonts w:hAnsi="宋体"/>
          <w:szCs w:val="21"/>
        </w:rPr>
        <w:t>i)</w:t>
      </w:r>
      <w:r>
        <w:rPr>
          <w:rFonts w:hint="eastAsia" w:hAnsi="宋体"/>
          <w:szCs w:val="21"/>
        </w:rPr>
        <w:t>是否具有承接政府转移职能、授权、委托和购买服务事项的情况；</w:t>
      </w:r>
    </w:p>
    <w:p>
      <w:pPr>
        <w:pStyle w:val="49"/>
        <w:rPr>
          <w:rFonts w:hAnsi="宋体"/>
          <w:szCs w:val="21"/>
        </w:rPr>
      </w:pPr>
      <w:r>
        <w:rPr>
          <w:rFonts w:hAnsi="宋体"/>
          <w:szCs w:val="21"/>
        </w:rPr>
        <w:t>j)</w:t>
      </w:r>
      <w:r>
        <w:rPr>
          <w:rFonts w:hint="eastAsia" w:hAnsi="宋体"/>
          <w:szCs w:val="21"/>
        </w:rPr>
        <w:t>是否具有行政许可事项；</w:t>
      </w:r>
    </w:p>
    <w:p>
      <w:pPr>
        <w:pStyle w:val="49"/>
        <w:rPr>
          <w:rFonts w:hAnsi="宋体"/>
          <w:szCs w:val="21"/>
        </w:rPr>
      </w:pPr>
      <w:r>
        <w:rPr>
          <w:rFonts w:hAnsi="宋体"/>
          <w:szCs w:val="21"/>
        </w:rPr>
        <w:t>k)</w:t>
      </w:r>
      <w:r>
        <w:rPr>
          <w:rFonts w:hint="eastAsia" w:hAnsi="宋体"/>
          <w:szCs w:val="21"/>
        </w:rPr>
        <w:t>接受检查及评估的情况；</w:t>
      </w:r>
    </w:p>
    <w:p>
      <w:pPr>
        <w:pStyle w:val="49"/>
        <w:rPr>
          <w:rFonts w:hAnsi="宋体"/>
          <w:szCs w:val="21"/>
        </w:rPr>
      </w:pPr>
      <w:r>
        <w:rPr>
          <w:rFonts w:hAnsi="宋体"/>
          <w:szCs w:val="21"/>
        </w:rPr>
        <w:t>l)</w:t>
      </w:r>
      <w:r>
        <w:rPr>
          <w:rFonts w:hint="eastAsia" w:hAnsi="宋体"/>
          <w:szCs w:val="21"/>
        </w:rPr>
        <w:t>是否有表彰及处罚情况；</w:t>
      </w:r>
    </w:p>
    <w:p>
      <w:pPr>
        <w:pStyle w:val="49"/>
        <w:rPr>
          <w:rFonts w:hAnsi="宋体"/>
          <w:szCs w:val="21"/>
        </w:rPr>
      </w:pPr>
      <w:r>
        <w:rPr>
          <w:rFonts w:hAnsi="宋体"/>
          <w:szCs w:val="21"/>
        </w:rPr>
        <w:t>m)</w:t>
      </w:r>
      <w:r>
        <w:rPr>
          <w:rFonts w:hint="eastAsia" w:hAnsi="宋体"/>
          <w:szCs w:val="21"/>
        </w:rPr>
        <w:t>涉及社会公共利益的内部管理制度；</w:t>
      </w:r>
    </w:p>
    <w:p>
      <w:pPr>
        <w:pStyle w:val="49"/>
        <w:rPr>
          <w:rFonts w:hAnsi="宋体"/>
          <w:szCs w:val="21"/>
        </w:rPr>
      </w:pPr>
      <w:r>
        <w:rPr>
          <w:rFonts w:hAnsi="宋体"/>
          <w:szCs w:val="21"/>
        </w:rPr>
        <w:t>n)</w:t>
      </w:r>
      <w:r>
        <w:rPr>
          <w:rFonts w:hint="eastAsia" w:hAnsi="宋体"/>
          <w:szCs w:val="21"/>
        </w:rPr>
        <w:t>具有公开募捐资格的基金会是否有向社会公开其重大债权、债务和重大保值增值活动信息。</w:t>
      </w:r>
    </w:p>
    <w:p>
      <w:pPr>
        <w:pStyle w:val="46"/>
        <w:spacing w:before="156" w:after="156"/>
        <w:rPr>
          <w:rFonts w:ascii="宋体" w:hAnsi="宋体" w:eastAsia="宋体"/>
        </w:rPr>
      </w:pPr>
      <w:r>
        <w:rPr>
          <w:rFonts w:hint="eastAsia" w:ascii="宋体" w:hAnsi="宋体" w:eastAsia="宋体"/>
        </w:rPr>
        <w:t>接受捐赠和募集资金的情况应及时公开。具有公开募捐资格的基金会，公开募捐周期超过六个月的，至少每三个月公开一次募捐情况，公开募捐活动结束后三个月内应当全面公开募捐情况。</w:t>
      </w:r>
    </w:p>
    <w:p>
      <w:pPr>
        <w:pStyle w:val="46"/>
        <w:spacing w:before="156" w:after="156"/>
        <w:rPr>
          <w:rFonts w:ascii="宋体" w:hAnsi="宋体" w:eastAsia="宋体"/>
        </w:rPr>
      </w:pPr>
      <w:r>
        <w:rPr>
          <w:rFonts w:hint="eastAsia" w:ascii="宋体" w:hAnsi="宋体" w:eastAsia="宋体"/>
        </w:rPr>
        <w:t>具有公开募捐资格的基金会开展公开募捐活动，应在登记管理机关统一的信息平台、募捐活动现场或者募捐活动载体的显著位置，公布募捐资格证书、募捐方案、联系方式、募捐信息查询方法等，并定期向社会公开其募捐情况和慈善项目实施情况。</w:t>
      </w:r>
    </w:p>
    <w:p>
      <w:pPr>
        <w:pStyle w:val="46"/>
        <w:spacing w:before="156" w:after="156"/>
        <w:rPr>
          <w:rFonts w:ascii="宋体" w:hAnsi="宋体" w:eastAsia="宋体"/>
        </w:rPr>
      </w:pPr>
      <w:r>
        <w:rPr>
          <w:rFonts w:hint="eastAsia" w:ascii="宋体" w:hAnsi="宋体" w:eastAsia="宋体"/>
        </w:rPr>
        <w:t>基金会信息内容应全面公布并方便查阅，保证捐赠人、</w:t>
      </w:r>
      <w:r>
        <w:rPr>
          <w:rFonts w:ascii="宋体" w:hAnsi="宋体" w:eastAsia="宋体"/>
        </w:rPr>
        <w:t>受</w:t>
      </w:r>
      <w:r>
        <w:rPr>
          <w:rFonts w:hint="eastAsia" w:ascii="宋体" w:hAnsi="宋体" w:eastAsia="宋体"/>
        </w:rPr>
        <w:t>益</w:t>
      </w:r>
      <w:r>
        <w:rPr>
          <w:rFonts w:ascii="宋体" w:hAnsi="宋体" w:eastAsia="宋体"/>
        </w:rPr>
        <w:t>人</w:t>
      </w:r>
      <w:r>
        <w:rPr>
          <w:rFonts w:hint="eastAsia" w:ascii="宋体" w:hAnsi="宋体" w:eastAsia="宋体"/>
        </w:rPr>
        <w:t>和社会公众能够方便快捷地查阅、询问。</w:t>
      </w:r>
    </w:p>
    <w:p>
      <w:pPr>
        <w:pStyle w:val="46"/>
        <w:spacing w:before="156" w:after="156"/>
        <w:rPr>
          <w:rFonts w:ascii="宋体" w:hAnsi="宋体" w:eastAsia="宋体"/>
        </w:rPr>
      </w:pPr>
      <w:r>
        <w:rPr>
          <w:rFonts w:hint="eastAsia" w:ascii="宋体" w:hAnsi="宋体" w:eastAsia="宋体"/>
        </w:rPr>
        <w:t>基金会应及时回应捐赠人和公众质疑。</w:t>
      </w:r>
    </w:p>
    <w:p>
      <w:pPr>
        <w:pStyle w:val="46"/>
        <w:spacing w:before="156" w:after="156"/>
        <w:rPr>
          <w:rFonts w:ascii="宋体" w:hAnsi="宋体" w:eastAsia="宋体"/>
        </w:rPr>
      </w:pPr>
      <w:r>
        <w:rPr>
          <w:rFonts w:hint="eastAsia" w:ascii="宋体" w:hAnsi="宋体" w:eastAsia="宋体"/>
        </w:rPr>
        <w:t>基金会应建立向捐赠人公布信息的机制和模式，根据项目开展情况及时向捐赠人公布项目资金的使用情况和项目成效。慈善组织开展定向募捐的，应当及时向捐赠人告知募捐情况、募得款物的管理使用情况。</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w:t>
      </w:r>
      <w:r>
        <w:rPr>
          <w:rFonts w:hint="eastAsia" w:ascii="宋体" w:hAnsi="宋体" w:eastAsia="宋体"/>
        </w:rPr>
        <w:t>向受益人告知其资助标准、工作流程和工作规范等信息。</w:t>
      </w:r>
    </w:p>
    <w:p>
      <w:pPr>
        <w:pStyle w:val="46"/>
        <w:spacing w:before="156" w:after="156"/>
        <w:rPr>
          <w:rFonts w:ascii="宋体" w:hAnsi="宋体" w:eastAsia="宋体"/>
        </w:rPr>
      </w:pPr>
      <w:r>
        <w:rPr>
          <w:rFonts w:hint="eastAsia" w:ascii="宋体" w:hAnsi="宋体" w:eastAsia="宋体"/>
        </w:rPr>
        <w:t>基金会应在办公场所和服务场所公开机构及服务信息。</w:t>
      </w:r>
    </w:p>
    <w:p>
      <w:pPr>
        <w:pStyle w:val="46"/>
        <w:spacing w:before="156" w:after="156"/>
        <w:rPr>
          <w:rFonts w:ascii="宋体" w:hAnsi="宋体" w:eastAsia="宋体"/>
        </w:rPr>
      </w:pPr>
      <w:r>
        <w:rPr>
          <w:rFonts w:hint="eastAsia" w:ascii="宋体" w:hAnsi="宋体" w:eastAsia="宋体"/>
        </w:rPr>
        <w:t>基金会信息建设平台应多样，信息公开渠道应丰富。</w:t>
      </w:r>
    </w:p>
    <w:p>
      <w:pPr>
        <w:pStyle w:val="46"/>
        <w:spacing w:before="156" w:after="156"/>
        <w:rPr>
          <w:rFonts w:ascii="宋体" w:hAnsi="宋体" w:eastAsia="宋体"/>
        </w:rPr>
      </w:pPr>
      <w:r>
        <w:rPr>
          <w:rFonts w:hint="eastAsia" w:ascii="宋体" w:hAnsi="宋体" w:eastAsia="宋体"/>
        </w:rPr>
        <w:t>基金会按规定向登记管理机关编制并报送年报和财务会计报告，年报和财务会计报告内容真实。</w:t>
      </w:r>
    </w:p>
    <w:p>
      <w:pPr>
        <w:pStyle w:val="46"/>
        <w:numPr>
          <w:ilvl w:val="3"/>
          <w:numId w:val="0"/>
        </w:numPr>
        <w:spacing w:before="156" w:after="156"/>
        <w:ind w:firstLine="480"/>
        <w:rPr>
          <w:rFonts w:ascii="宋体" w:hAnsi="宋体" w:eastAsia="宋体"/>
        </w:rPr>
      </w:pPr>
      <w:r>
        <w:rPr>
          <w:rFonts w:hint="eastAsia" w:ascii="宋体" w:hAnsi="宋体" w:eastAsia="宋体"/>
        </w:rPr>
        <w:t>年度报告或财务会计报告需修改的，应重新报送并书面说明修改理由，并向社会公开。</w:t>
      </w:r>
    </w:p>
    <w:p>
      <w:pPr>
        <w:pStyle w:val="46"/>
        <w:numPr>
          <w:ilvl w:val="3"/>
          <w:numId w:val="0"/>
        </w:numPr>
        <w:spacing w:before="156" w:after="156"/>
        <w:ind w:firstLine="480"/>
        <w:rPr>
          <w:rFonts w:ascii="宋体" w:hAnsi="宋体" w:eastAsia="宋体"/>
        </w:rPr>
      </w:pPr>
      <w:r>
        <w:rPr>
          <w:rFonts w:hint="eastAsia" w:ascii="宋体" w:hAnsi="宋体" w:eastAsia="宋体"/>
        </w:rPr>
        <w:t>年度工作报告内容包括：</w:t>
      </w:r>
    </w:p>
    <w:p>
      <w:pPr>
        <w:pStyle w:val="74"/>
        <w:spacing w:before="156" w:after="156"/>
        <w:ind w:firstLine="420" w:firstLineChars="200"/>
        <w:rPr>
          <w:rFonts w:ascii="宋体" w:hAnsi="宋体" w:eastAsia="宋体"/>
        </w:rPr>
      </w:pPr>
      <w:r>
        <w:rPr>
          <w:rFonts w:hint="eastAsia" w:ascii="宋体" w:hAnsi="宋体" w:eastAsia="宋体"/>
        </w:rPr>
        <w:t>a)登记事项、网址和联系电话等基本信息；</w:t>
      </w:r>
    </w:p>
    <w:p>
      <w:pPr>
        <w:pStyle w:val="74"/>
        <w:spacing w:before="156" w:after="156"/>
        <w:ind w:firstLine="420" w:firstLineChars="200"/>
        <w:rPr>
          <w:rFonts w:ascii="宋体" w:hAnsi="宋体" w:eastAsia="宋体"/>
        </w:rPr>
      </w:pPr>
      <w:r>
        <w:rPr>
          <w:rFonts w:hint="eastAsia" w:ascii="宋体" w:hAnsi="宋体" w:eastAsia="宋体"/>
        </w:rPr>
        <w:t>b</w:t>
      </w:r>
      <w:r>
        <w:rPr>
          <w:rFonts w:ascii="宋体" w:hAnsi="宋体" w:eastAsia="宋体"/>
        </w:rPr>
        <w:t>)</w:t>
      </w:r>
      <w:r>
        <w:rPr>
          <w:rFonts w:hint="eastAsia" w:ascii="宋体" w:hAnsi="宋体" w:eastAsia="宋体"/>
        </w:rPr>
        <w:t>接受捐赠以及大额捐赠情况、公开募捐情况、公益慈善活动支出和管理费用情况、实施慈善项目情况、财产管理情况、保值增值情况、关联方关系及交易情况、承接政府购买服务情况、工作人员工资福利情况等业务活动情况；</w:t>
      </w:r>
    </w:p>
    <w:p>
      <w:pPr>
        <w:pStyle w:val="74"/>
        <w:spacing w:before="156" w:after="156"/>
        <w:ind w:firstLine="420" w:firstLineChars="200"/>
        <w:rPr>
          <w:rFonts w:ascii="宋体" w:hAnsi="宋体" w:eastAsia="宋体"/>
        </w:rPr>
      </w:pPr>
      <w:r>
        <w:rPr>
          <w:rFonts w:hint="eastAsia" w:ascii="宋体" w:hAnsi="宋体" w:eastAsia="宋体"/>
        </w:rPr>
        <w:t>c</w:t>
      </w:r>
      <w:r>
        <w:rPr>
          <w:rFonts w:ascii="宋体" w:hAnsi="宋体" w:eastAsia="宋体"/>
        </w:rPr>
        <w:t>)</w:t>
      </w:r>
      <w:r>
        <w:rPr>
          <w:rFonts w:hint="eastAsia" w:ascii="宋体" w:hAnsi="宋体" w:eastAsia="宋体"/>
        </w:rPr>
        <w:t>理事、监事、工作人员信息以及领取报酬情况，理事会召开和决策情况，专项基金等机构建设情况；</w:t>
      </w:r>
    </w:p>
    <w:p>
      <w:pPr>
        <w:pStyle w:val="74"/>
        <w:spacing w:before="156" w:after="156"/>
        <w:ind w:firstLine="420" w:firstLineChars="200"/>
        <w:rPr>
          <w:rFonts w:ascii="宋体" w:hAnsi="宋体" w:eastAsia="宋体"/>
        </w:rPr>
      </w:pPr>
      <w:r>
        <w:rPr>
          <w:rFonts w:hint="eastAsia" w:ascii="宋体" w:hAnsi="宋体" w:eastAsia="宋体"/>
        </w:rPr>
        <w:t>d</w:t>
      </w:r>
      <w:r>
        <w:rPr>
          <w:rFonts w:ascii="宋体" w:hAnsi="宋体" w:eastAsia="宋体"/>
        </w:rPr>
        <w:t>)</w:t>
      </w:r>
      <w:r>
        <w:rPr>
          <w:rFonts w:hint="eastAsia" w:ascii="宋体" w:hAnsi="宋体" w:eastAsia="宋体"/>
        </w:rPr>
        <w:t>注册会计师审计报告；</w:t>
      </w:r>
    </w:p>
    <w:p>
      <w:pPr>
        <w:pStyle w:val="74"/>
        <w:spacing w:before="156" w:after="156"/>
        <w:ind w:firstLine="420" w:firstLineChars="200"/>
        <w:rPr>
          <w:rFonts w:ascii="宋体" w:hAnsi="宋体" w:eastAsia="宋体"/>
        </w:rPr>
      </w:pPr>
      <w:r>
        <w:rPr>
          <w:rFonts w:hint="eastAsia" w:ascii="宋体" w:hAnsi="宋体" w:eastAsia="宋体"/>
        </w:rPr>
        <w:t>e</w:t>
      </w:r>
      <w:r>
        <w:rPr>
          <w:rFonts w:ascii="宋体" w:hAnsi="宋体" w:eastAsia="宋体"/>
        </w:rPr>
        <w:t>)</w:t>
      </w:r>
      <w:r>
        <w:rPr>
          <w:rFonts w:hint="eastAsia" w:ascii="宋体" w:hAnsi="宋体" w:eastAsia="宋体"/>
        </w:rPr>
        <w:t>接收检查和评估的结果，收到表彰、处罚的情况，获得公益性捐赠税前扣除资格、有关税收优惠资格等情况；</w:t>
      </w:r>
    </w:p>
    <w:p>
      <w:pPr>
        <w:pStyle w:val="74"/>
        <w:spacing w:before="156" w:after="156"/>
        <w:ind w:firstLine="420" w:firstLineChars="200"/>
        <w:rPr>
          <w:rFonts w:ascii="宋体" w:hAnsi="宋体" w:eastAsia="宋体"/>
        </w:rPr>
      </w:pPr>
      <w:r>
        <w:rPr>
          <w:rFonts w:hint="eastAsia" w:ascii="宋体" w:hAnsi="宋体" w:eastAsia="宋体"/>
        </w:rPr>
        <w:t>f</w:t>
      </w:r>
      <w:r>
        <w:rPr>
          <w:rFonts w:ascii="宋体" w:hAnsi="宋体" w:eastAsia="宋体"/>
        </w:rPr>
        <w:t>)</w:t>
      </w:r>
      <w:r>
        <w:rPr>
          <w:rFonts w:hint="eastAsia" w:ascii="宋体" w:hAnsi="宋体" w:eastAsia="宋体"/>
        </w:rPr>
        <w:t>监事意见；</w:t>
      </w:r>
    </w:p>
    <w:p>
      <w:pPr>
        <w:pStyle w:val="74"/>
        <w:spacing w:before="156" w:after="156"/>
        <w:ind w:firstLine="420" w:firstLineChars="200"/>
        <w:rPr>
          <w:rFonts w:ascii="宋体" w:hAnsi="宋体" w:eastAsia="宋体"/>
        </w:rPr>
      </w:pPr>
      <w:r>
        <w:rPr>
          <w:rFonts w:hint="eastAsia" w:ascii="宋体" w:hAnsi="宋体" w:eastAsia="宋体"/>
        </w:rPr>
        <w:t>g</w:t>
      </w:r>
      <w:r>
        <w:rPr>
          <w:rFonts w:ascii="宋体" w:hAnsi="宋体" w:eastAsia="宋体"/>
        </w:rPr>
        <w:t>)</w:t>
      </w:r>
      <w:r>
        <w:rPr>
          <w:rFonts w:hint="eastAsia" w:ascii="宋体" w:hAnsi="宋体" w:eastAsia="宋体"/>
        </w:rPr>
        <w:t>履行信息公开义务的情况；</w:t>
      </w:r>
    </w:p>
    <w:p>
      <w:pPr>
        <w:pStyle w:val="74"/>
        <w:spacing w:before="156" w:after="156"/>
        <w:ind w:firstLine="420" w:firstLineChars="200"/>
        <w:rPr>
          <w:rFonts w:ascii="宋体" w:hAnsi="宋体" w:eastAsia="宋体"/>
        </w:rPr>
      </w:pPr>
      <w:r>
        <w:rPr>
          <w:rFonts w:hint="eastAsia" w:ascii="宋体" w:hAnsi="宋体" w:eastAsia="宋体"/>
        </w:rPr>
        <w:t>h</w:t>
      </w:r>
      <w:r>
        <w:rPr>
          <w:rFonts w:ascii="宋体" w:hAnsi="宋体" w:eastAsia="宋体"/>
        </w:rPr>
        <w:t>)</w:t>
      </w:r>
      <w:r>
        <w:rPr>
          <w:rFonts w:hint="eastAsia" w:ascii="宋体" w:hAnsi="宋体" w:eastAsia="宋体"/>
        </w:rPr>
        <w:t>登记管理机关要求的其他信息。</w:t>
      </w:r>
    </w:p>
    <w:p>
      <w:pPr>
        <w:pStyle w:val="46"/>
        <w:spacing w:before="156" w:after="156"/>
        <w:rPr>
          <w:rFonts w:ascii="宋体" w:hAnsi="宋体" w:eastAsia="宋体"/>
        </w:rPr>
      </w:pPr>
      <w:r>
        <w:rPr>
          <w:rFonts w:hint="eastAsia" w:ascii="宋体" w:hAnsi="宋体" w:eastAsia="宋体"/>
        </w:rPr>
        <w:t>基金会在报送年报和财务会计报告后或重新报送修改后的年报和财务会计报告后，应将年报和财务会计报告公布在登记管理机关指定的媒体上，接受公众查询、监督。</w:t>
      </w:r>
    </w:p>
    <w:p>
      <w:pPr>
        <w:pStyle w:val="46"/>
        <w:spacing w:before="156" w:after="156"/>
        <w:rPr>
          <w:rFonts w:ascii="宋体" w:hAnsi="宋体" w:eastAsia="宋体"/>
        </w:rPr>
      </w:pPr>
      <w:r>
        <w:rPr>
          <w:rFonts w:hint="eastAsia" w:ascii="宋体" w:hAnsi="宋体" w:eastAsia="宋体"/>
        </w:rPr>
        <w:t>基金会在编制和报送年报资料时应按照要求真实准确填写《党建情况表》。</w:t>
      </w:r>
    </w:p>
    <w:p>
      <w:pPr>
        <w:pStyle w:val="46"/>
        <w:spacing w:before="156" w:after="156"/>
        <w:rPr>
          <w:rFonts w:ascii="宋体" w:hAnsi="宋体" w:eastAsia="宋体"/>
        </w:rPr>
      </w:pPr>
      <w:r>
        <w:rPr>
          <w:rFonts w:hint="eastAsia" w:ascii="宋体" w:hAnsi="宋体" w:eastAsia="宋体"/>
        </w:rPr>
        <w:t>基金会不得</w:t>
      </w:r>
      <w:r>
        <w:rPr>
          <w:rFonts w:ascii="宋体" w:hAnsi="宋体" w:eastAsia="宋体"/>
        </w:rPr>
        <w:t>公开</w:t>
      </w:r>
      <w:r>
        <w:rPr>
          <w:rFonts w:hint="eastAsia" w:ascii="宋体" w:hAnsi="宋体" w:eastAsia="宋体"/>
        </w:rPr>
        <w:t>涉及国家秘密、商业秘密、个人隐私的信息以及捐赠人、慈善信托的委托人不同意公开的姓名、名称、住所、通讯方式等信息。</w:t>
      </w:r>
    </w:p>
    <w:p>
      <w:pPr>
        <w:pStyle w:val="157"/>
        <w:widowControl/>
        <w:numPr>
          <w:ilvl w:val="0"/>
          <w:numId w:val="18"/>
        </w:numPr>
        <w:spacing w:beforeLines="100" w:afterLines="100"/>
        <w:ind w:firstLineChars="0"/>
        <w:outlineLvl w:val="1"/>
        <w:rPr>
          <w:rFonts w:ascii="黑体" w:hAnsi="黑体" w:eastAsia="黑体"/>
        </w:rPr>
      </w:pPr>
      <w:bookmarkStart w:id="103" w:name="_Toc478734650"/>
      <w:r>
        <w:rPr>
          <w:rFonts w:hint="eastAsia" w:ascii="黑体" w:hAnsi="黑体" w:eastAsia="黑体"/>
        </w:rPr>
        <w:t>行业协会评估指标</w:t>
      </w:r>
      <w:bookmarkEnd w:id="103"/>
    </w:p>
    <w:p>
      <w:pPr>
        <w:pStyle w:val="157"/>
        <w:widowControl/>
        <w:spacing w:beforeLines="100" w:afterLines="100"/>
        <w:ind w:firstLine="0" w:firstLineChars="0"/>
        <w:outlineLvl w:val="1"/>
        <w:rPr>
          <w:rFonts w:ascii="黑体" w:eastAsia="黑体"/>
          <w:vanish/>
          <w:kern w:val="0"/>
          <w:szCs w:val="20"/>
        </w:rPr>
      </w:pPr>
      <w:bookmarkStart w:id="104" w:name="_Toc478734651"/>
      <w:bookmarkEnd w:id="104"/>
      <w:bookmarkStart w:id="105" w:name="_Toc478717711"/>
      <w:bookmarkEnd w:id="105"/>
    </w:p>
    <w:p>
      <w:pPr>
        <w:pStyle w:val="47"/>
        <w:numPr>
          <w:ilvl w:val="1"/>
          <w:numId w:val="0"/>
        </w:numPr>
        <w:spacing w:before="156" w:after="156"/>
      </w:pPr>
      <w:bookmarkStart w:id="106" w:name="_Toc478734652"/>
      <w:r>
        <w:rPr>
          <w:rFonts w:hint="eastAsia"/>
        </w:rPr>
        <w:t>依法登记和接受监督</w:t>
      </w:r>
      <w:bookmarkEnd w:id="106"/>
    </w:p>
    <w:p>
      <w:pPr>
        <w:pStyle w:val="46"/>
        <w:spacing w:before="156" w:after="156"/>
        <w:rPr>
          <w:rFonts w:ascii="宋体" w:hAnsi="宋体" w:eastAsia="宋体"/>
        </w:rPr>
      </w:pPr>
      <w:r>
        <w:rPr>
          <w:rFonts w:hint="eastAsia" w:ascii="宋体" w:hAnsi="宋体" w:eastAsia="宋体"/>
        </w:rPr>
        <w:t>行业协会应依法登记。行业协会登记后应依法办理税务登记和纳税。</w:t>
      </w:r>
    </w:p>
    <w:p>
      <w:pPr>
        <w:pStyle w:val="46"/>
        <w:spacing w:before="156" w:after="156"/>
        <w:rPr>
          <w:rFonts w:ascii="宋体" w:hAnsi="宋体" w:eastAsia="宋体"/>
        </w:rPr>
      </w:pPr>
      <w:r>
        <w:rPr>
          <w:rFonts w:hint="eastAsia" w:ascii="宋体" w:hAnsi="宋体" w:eastAsia="宋体"/>
        </w:rPr>
        <w:t>行业协会的机构、人事、财务应与国家机关、事业单位分开，不与国家机关、事业单位合署办公。</w:t>
      </w:r>
    </w:p>
    <w:p>
      <w:pPr>
        <w:pStyle w:val="46"/>
        <w:spacing w:before="156" w:after="156"/>
        <w:rPr>
          <w:rFonts w:ascii="宋体" w:hAnsi="宋体" w:eastAsia="宋体"/>
        </w:rPr>
      </w:pPr>
      <w:r>
        <w:rPr>
          <w:rFonts w:hint="eastAsia" w:ascii="宋体" w:hAnsi="宋体" w:eastAsia="宋体"/>
        </w:rPr>
        <w:t>行业协会应有固定的住所，产权或租赁手续齐全，满足办公需要。行业协会</w:t>
      </w:r>
      <w:r>
        <w:rPr>
          <w:rFonts w:ascii="宋体" w:hAnsi="宋体" w:eastAsia="宋体"/>
        </w:rPr>
        <w:t>应</w:t>
      </w:r>
      <w:r>
        <w:rPr>
          <w:rFonts w:hint="eastAsia" w:ascii="宋体" w:hAnsi="宋体" w:eastAsia="宋体"/>
        </w:rPr>
        <w:t>具备相应的办公设备，且办公场所应悬挂单位名称牌匾。</w:t>
      </w:r>
    </w:p>
    <w:p>
      <w:pPr>
        <w:pStyle w:val="46"/>
        <w:spacing w:before="156" w:after="156"/>
        <w:rPr>
          <w:rFonts w:ascii="宋体" w:hAnsi="宋体" w:eastAsia="宋体"/>
        </w:rPr>
      </w:pPr>
      <w:r>
        <w:rPr>
          <w:rFonts w:hint="eastAsia" w:ascii="宋体" w:hAnsi="宋体" w:eastAsia="宋体"/>
        </w:rPr>
        <w:t>行业协会应按照会员（代表）大会通过并报登记管理机关核准的章程开展工作。</w:t>
      </w:r>
    </w:p>
    <w:p>
      <w:pPr>
        <w:pStyle w:val="46"/>
        <w:spacing w:before="156" w:after="156"/>
        <w:rPr>
          <w:rFonts w:ascii="宋体" w:hAnsi="宋体" w:eastAsia="宋体"/>
        </w:rPr>
      </w:pPr>
      <w:r>
        <w:rPr>
          <w:rFonts w:hint="eastAsia" w:ascii="宋体" w:hAnsi="宋体" w:eastAsia="宋体"/>
        </w:rPr>
        <w:t>行业协会应合规管理，在登记管理机关和政府相关职能部门无任何违法行为记录。</w:t>
      </w:r>
    </w:p>
    <w:p>
      <w:pPr>
        <w:pStyle w:val="46"/>
        <w:spacing w:before="156" w:after="156"/>
        <w:rPr>
          <w:rFonts w:ascii="宋体" w:hAnsi="宋体" w:eastAsia="宋体"/>
        </w:rPr>
      </w:pPr>
      <w:r>
        <w:rPr>
          <w:rFonts w:hint="eastAsia" w:ascii="宋体" w:hAnsi="宋体" w:eastAsia="宋体"/>
        </w:rPr>
        <w:t>行业协会在登记事项发生变更时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日内向登记管理机关申请变更登记。</w:t>
      </w:r>
    </w:p>
    <w:p>
      <w:pPr>
        <w:pStyle w:val="46"/>
        <w:spacing w:before="156" w:after="156"/>
        <w:rPr>
          <w:rFonts w:ascii="宋体" w:hAnsi="宋体" w:eastAsia="宋体"/>
        </w:rPr>
      </w:pPr>
      <w:r>
        <w:rPr>
          <w:rFonts w:hint="eastAsia" w:ascii="宋体" w:hAnsi="宋体" w:eastAsia="宋体"/>
        </w:rPr>
        <w:t>行业协会不在登记管理机关的异常活动名录中。</w:t>
      </w:r>
    </w:p>
    <w:p>
      <w:pPr>
        <w:pStyle w:val="46"/>
        <w:spacing w:before="156" w:after="156"/>
        <w:rPr>
          <w:rFonts w:ascii="宋体" w:hAnsi="宋体" w:eastAsia="宋体"/>
        </w:rPr>
      </w:pPr>
      <w:r>
        <w:rPr>
          <w:rFonts w:hint="eastAsia" w:ascii="宋体" w:hAnsi="宋体" w:eastAsia="宋体"/>
        </w:rPr>
        <w:t>行业协会的负责人应在任职前公示。有以下情形的</w:t>
      </w:r>
      <w:r>
        <w:rPr>
          <w:rFonts w:ascii="宋体" w:hAnsi="宋体" w:eastAsia="宋体"/>
        </w:rPr>
        <w:t>，</w:t>
      </w:r>
      <w:r>
        <w:rPr>
          <w:rFonts w:hint="eastAsia" w:ascii="宋体" w:hAnsi="宋体" w:eastAsia="宋体"/>
        </w:rPr>
        <w:t>不得担任行业协会的法定代表人及负责人：</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行业协会的法定代表人不应同时担任其他社会团体的法定代表人。</w:t>
      </w:r>
    </w:p>
    <w:p>
      <w:pPr>
        <w:pStyle w:val="46"/>
        <w:spacing w:before="156" w:after="156"/>
        <w:rPr>
          <w:rFonts w:ascii="宋体" w:hAnsi="宋体" w:eastAsia="宋体"/>
        </w:rPr>
      </w:pPr>
      <w:r>
        <w:rPr>
          <w:rFonts w:hint="eastAsia" w:ascii="宋体" w:hAnsi="宋体" w:eastAsia="宋体"/>
        </w:rPr>
        <w:t>行业协会的负责人应参与登记管理机关组织的培训活动。</w:t>
      </w:r>
    </w:p>
    <w:p>
      <w:pPr>
        <w:pStyle w:val="49"/>
      </w:pPr>
    </w:p>
    <w:p>
      <w:pPr>
        <w:pStyle w:val="47"/>
        <w:numPr>
          <w:ilvl w:val="1"/>
          <w:numId w:val="0"/>
        </w:numPr>
        <w:spacing w:before="156" w:after="156"/>
      </w:pPr>
      <w:bookmarkStart w:id="107" w:name="_Toc413850685"/>
      <w:bookmarkStart w:id="108" w:name="_Toc413846860"/>
      <w:bookmarkStart w:id="109" w:name="_Toc478734653"/>
      <w:bookmarkStart w:id="110" w:name="_Toc413850622"/>
      <w:r>
        <w:rPr>
          <w:rFonts w:hint="eastAsia"/>
        </w:rPr>
        <w:t>内部治理规范</w:t>
      </w:r>
      <w:bookmarkEnd w:id="107"/>
      <w:bookmarkEnd w:id="108"/>
      <w:bookmarkEnd w:id="109"/>
      <w:bookmarkEnd w:id="110"/>
      <w:bookmarkStart w:id="111" w:name="_Toc474331564"/>
      <w:bookmarkEnd w:id="111"/>
    </w:p>
    <w:p>
      <w:pPr>
        <w:pStyle w:val="46"/>
        <w:spacing w:before="156" w:after="156"/>
        <w:rPr>
          <w:rFonts w:ascii="宋体" w:hAnsi="宋体" w:eastAsia="宋体"/>
        </w:rPr>
      </w:pPr>
      <w:r>
        <w:rPr>
          <w:rFonts w:hint="eastAsia" w:ascii="宋体" w:hAnsi="宋体" w:eastAsia="宋体"/>
        </w:rPr>
        <w:t>行业协会的法人治理结构应合理，应依照相关法规规章、规范性</w:t>
      </w:r>
      <w:r>
        <w:rPr>
          <w:rFonts w:ascii="宋体" w:hAnsi="宋体" w:eastAsia="宋体"/>
        </w:rPr>
        <w:t>文件、</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应按照法规规章、</w:t>
      </w:r>
      <w:r>
        <w:rPr>
          <w:rFonts w:ascii="宋体" w:hAnsi="宋体" w:eastAsia="宋体"/>
        </w:rPr>
        <w:t>规范性文件</w:t>
      </w:r>
      <w:r>
        <w:rPr>
          <w:rFonts w:hint="eastAsia" w:ascii="宋体" w:hAnsi="宋体" w:eastAsia="宋体"/>
        </w:rPr>
        <w:t>和章程规定的时限、条件和程序召开会员代表大会。</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应按照章程规定设立理事会。按照章程规定的时限、条件和程序召开理事会。理事会发挥作用良好。</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应按照章程规定设立监事会、监事。按照章程规定的时限、条件和程序召开监事会，监事会、监事履行职责并</w:t>
      </w:r>
      <w:r>
        <w:rPr>
          <w:rFonts w:ascii="宋体" w:hAnsi="宋体" w:eastAsia="宋体"/>
        </w:rPr>
        <w:t>发挥作用</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行业协会应建立健全内部监督机制，应落实民主选举、民主决策和民主管理。</w:t>
      </w:r>
    </w:p>
    <w:p>
      <w:pPr>
        <w:pStyle w:val="46"/>
        <w:spacing w:before="156" w:after="156"/>
        <w:rPr>
          <w:rFonts w:ascii="宋体" w:hAnsi="宋体" w:eastAsia="宋体"/>
        </w:rPr>
      </w:pPr>
      <w:r>
        <w:rPr>
          <w:rFonts w:hint="eastAsia" w:ascii="宋体" w:hAnsi="宋体" w:eastAsia="宋体"/>
        </w:rPr>
        <w:t>行业协会理事长</w:t>
      </w:r>
      <w:r>
        <w:rPr>
          <w:rFonts w:ascii="宋体" w:hAnsi="宋体" w:eastAsia="宋体"/>
        </w:rPr>
        <w:t>（</w:t>
      </w:r>
      <w:r>
        <w:rPr>
          <w:rFonts w:hint="eastAsia" w:ascii="宋体" w:hAnsi="宋体" w:eastAsia="宋体"/>
        </w:rPr>
        <w:t>会长）、副理事长</w:t>
      </w:r>
      <w:r>
        <w:rPr>
          <w:rFonts w:ascii="宋体" w:hAnsi="宋体" w:eastAsia="宋体"/>
        </w:rPr>
        <w:t>（</w:t>
      </w:r>
      <w:r>
        <w:rPr>
          <w:rFonts w:hint="eastAsia" w:ascii="宋体" w:hAnsi="宋体" w:eastAsia="宋体"/>
        </w:rPr>
        <w:t>会长）、理事、监事的任职条件、产生程序和职责履行应符合章程的规定。</w:t>
      </w:r>
    </w:p>
    <w:p>
      <w:pPr>
        <w:pStyle w:val="46"/>
        <w:spacing w:before="156" w:after="156"/>
        <w:rPr>
          <w:rFonts w:ascii="宋体" w:hAnsi="宋体" w:eastAsia="宋体"/>
        </w:rPr>
      </w:pPr>
      <w:r>
        <w:rPr>
          <w:rFonts w:hint="eastAsia" w:ascii="宋体" w:hAnsi="宋体" w:eastAsia="宋体"/>
        </w:rPr>
        <w:t>行业协会的秘书长由专人专职担任，并由理事会对其进行年度绩效考核。</w:t>
      </w:r>
    </w:p>
    <w:p>
      <w:pPr>
        <w:pStyle w:val="46"/>
        <w:spacing w:before="156" w:after="156"/>
        <w:rPr>
          <w:rFonts w:ascii="宋体" w:hAnsi="宋体" w:eastAsia="宋体"/>
        </w:rPr>
      </w:pPr>
      <w:r>
        <w:rPr>
          <w:rFonts w:hint="eastAsia" w:ascii="宋体" w:hAnsi="宋体" w:eastAsia="宋体"/>
        </w:rPr>
        <w:t>行业协会章程制定</w:t>
      </w:r>
      <w:r>
        <w:rPr>
          <w:rFonts w:ascii="宋体" w:hAnsi="宋体" w:eastAsia="宋体"/>
        </w:rPr>
        <w:t>和</w:t>
      </w:r>
      <w:r>
        <w:rPr>
          <w:rFonts w:hint="eastAsia" w:ascii="宋体" w:hAnsi="宋体" w:eastAsia="宋体"/>
        </w:rPr>
        <w:t>修改应报理事会通过，再报会员（代表）大会表决通过，再报登记管理机关通过批准生效。</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会员</w:t>
      </w:r>
      <w:r>
        <w:rPr>
          <w:rFonts w:ascii="宋体" w:hAnsi="宋体" w:eastAsia="宋体"/>
        </w:rPr>
        <w:t>(</w:t>
      </w:r>
      <w:r>
        <w:rPr>
          <w:rFonts w:hint="eastAsia" w:ascii="宋体" w:hAnsi="宋体" w:eastAsia="宋体"/>
        </w:rPr>
        <w:t>代表</w:t>
      </w:r>
      <w:r>
        <w:rPr>
          <w:rFonts w:ascii="宋体" w:hAnsi="宋体" w:eastAsia="宋体"/>
        </w:rPr>
        <w:t>)</w:t>
      </w:r>
      <w:r>
        <w:rPr>
          <w:rFonts w:hint="eastAsia" w:ascii="宋体" w:hAnsi="宋体" w:eastAsia="宋体"/>
        </w:rPr>
        <w:t>大会、理事会、监事、监事会、</w:t>
      </w:r>
      <w:r>
        <w:rPr>
          <w:rFonts w:ascii="宋体" w:hAnsi="宋体" w:eastAsia="宋体"/>
        </w:rPr>
        <w:t>秘书</w:t>
      </w:r>
      <w:r>
        <w:rPr>
          <w:rFonts w:hint="eastAsia" w:ascii="宋体" w:hAnsi="宋体" w:eastAsia="宋体"/>
        </w:rPr>
        <w:t>处的职权和运行应符合章程的规定。</w:t>
      </w:r>
    </w:p>
    <w:p>
      <w:pPr>
        <w:pStyle w:val="46"/>
        <w:spacing w:before="156" w:after="156"/>
        <w:rPr>
          <w:rFonts w:ascii="宋体" w:hAnsi="宋体" w:eastAsia="宋体"/>
        </w:rPr>
      </w:pPr>
      <w:r>
        <w:rPr>
          <w:rFonts w:hint="eastAsia" w:ascii="宋体" w:hAnsi="宋体" w:eastAsia="宋体"/>
        </w:rPr>
        <w:t>行业协会应按照有关规定建立、健全党组织（党支部、党总支或党委）。不符合设立党组织条件的行业协会应设置党小组、党建工作联络员等，或通过孵化等方式筹建党组织，或工作人员和会员有加入党组织的渠道。党</w:t>
      </w:r>
      <w:r>
        <w:rPr>
          <w:rFonts w:ascii="宋体" w:hAnsi="宋体" w:eastAsia="宋体"/>
        </w:rPr>
        <w:t>组织</w:t>
      </w:r>
      <w:r>
        <w:rPr>
          <w:rFonts w:hint="eastAsia" w:ascii="宋体" w:hAnsi="宋体" w:eastAsia="宋体"/>
        </w:rPr>
        <w:t>参与</w:t>
      </w:r>
      <w:r>
        <w:rPr>
          <w:rFonts w:ascii="宋体" w:hAnsi="宋体" w:eastAsia="宋体"/>
        </w:rPr>
        <w:t>行业协会重大问题</w:t>
      </w:r>
      <w:r>
        <w:rPr>
          <w:rFonts w:hint="eastAsia" w:ascii="宋体" w:hAnsi="宋体" w:eastAsia="宋体"/>
        </w:rPr>
        <w:t>的</w:t>
      </w:r>
      <w:r>
        <w:rPr>
          <w:rFonts w:ascii="宋体" w:hAnsi="宋体" w:eastAsia="宋体"/>
        </w:rPr>
        <w:t>决策。</w:t>
      </w:r>
    </w:p>
    <w:p>
      <w:pPr>
        <w:pStyle w:val="46"/>
        <w:spacing w:before="156" w:after="156"/>
        <w:rPr>
          <w:rFonts w:ascii="宋体" w:hAnsi="宋体" w:eastAsia="宋体"/>
        </w:rPr>
      </w:pPr>
      <w:r>
        <w:rPr>
          <w:rFonts w:hint="eastAsia" w:ascii="宋体" w:hAnsi="宋体" w:eastAsia="宋体"/>
        </w:rPr>
        <w:t>国家机关工作人员、按照有关规定不得担任行业协会领导职务的人员，不应在行业协会任职。行业协会的会长不得兼任秘书长。</w:t>
      </w:r>
    </w:p>
    <w:p>
      <w:pPr>
        <w:pStyle w:val="46"/>
        <w:spacing w:before="156" w:after="156"/>
        <w:rPr>
          <w:rFonts w:ascii="宋体" w:hAnsi="宋体" w:eastAsia="宋体"/>
        </w:rPr>
      </w:pPr>
      <w:r>
        <w:rPr>
          <w:rFonts w:hint="eastAsia" w:ascii="宋体" w:hAnsi="宋体" w:eastAsia="宋体"/>
        </w:rPr>
        <w:t>行业协会应有与业务活动相适应的专职工作人员。</w:t>
      </w:r>
    </w:p>
    <w:p>
      <w:pPr>
        <w:pStyle w:val="46"/>
        <w:spacing w:before="156" w:after="156"/>
        <w:rPr>
          <w:rFonts w:ascii="宋体" w:hAnsi="宋体" w:eastAsia="宋体"/>
        </w:rPr>
      </w:pPr>
      <w:r>
        <w:rPr>
          <w:rFonts w:hint="eastAsia" w:ascii="宋体" w:hAnsi="宋体" w:eastAsia="宋体"/>
        </w:rPr>
        <w:t>行业协会的专职工作团队应保持稳定或持续增长。</w:t>
      </w:r>
    </w:p>
    <w:p>
      <w:pPr>
        <w:pStyle w:val="46"/>
        <w:spacing w:before="156" w:after="156"/>
        <w:rPr>
          <w:rFonts w:ascii="宋体" w:hAnsi="宋体" w:eastAsia="宋体"/>
        </w:rPr>
      </w:pPr>
      <w:r>
        <w:rPr>
          <w:rFonts w:hint="eastAsia" w:ascii="宋体" w:hAnsi="宋体" w:eastAsia="宋体"/>
        </w:rPr>
        <w:t>行业协会应制定并执行工作人员聘用、任职、考核、奖惩和薪酬制度。</w:t>
      </w:r>
    </w:p>
    <w:p>
      <w:pPr>
        <w:pStyle w:val="46"/>
        <w:spacing w:before="156" w:after="156"/>
        <w:rPr>
          <w:rFonts w:ascii="宋体" w:hAnsi="宋体" w:eastAsia="宋体"/>
        </w:rPr>
      </w:pPr>
      <w:r>
        <w:rPr>
          <w:rFonts w:hint="eastAsia" w:ascii="宋体" w:hAnsi="宋体" w:eastAsia="宋体"/>
        </w:rPr>
        <w:t>行业协会应建立档案管理制度、证书管理制度、印章管理制度。</w:t>
      </w:r>
    </w:p>
    <w:p>
      <w:pPr>
        <w:pStyle w:val="46"/>
        <w:spacing w:before="156" w:after="156"/>
        <w:rPr>
          <w:rFonts w:ascii="宋体" w:hAnsi="宋体" w:eastAsia="宋体"/>
        </w:rPr>
      </w:pPr>
      <w:r>
        <w:rPr>
          <w:rFonts w:hint="eastAsia" w:ascii="宋体" w:hAnsi="宋体" w:eastAsia="宋体"/>
        </w:rPr>
        <w:t>行业协会应实行科学化管理手段，以完善和优化服务为目标，创新管理模式和服务模式。</w:t>
      </w:r>
    </w:p>
    <w:p>
      <w:pPr>
        <w:pStyle w:val="46"/>
        <w:spacing w:before="156" w:after="156"/>
        <w:rPr>
          <w:rFonts w:ascii="宋体" w:hAnsi="宋体" w:eastAsia="宋体"/>
        </w:rPr>
      </w:pPr>
      <w:r>
        <w:rPr>
          <w:rFonts w:hint="eastAsia" w:ascii="宋体" w:hAnsi="宋体" w:eastAsia="宋体"/>
        </w:rPr>
        <w:t>行业协会应加强自身诚信自律建设，应建立诚信承诺制度。行业协会</w:t>
      </w:r>
      <w:r>
        <w:rPr>
          <w:rFonts w:ascii="宋体" w:hAnsi="宋体" w:eastAsia="宋体"/>
        </w:rPr>
        <w:t>应</w:t>
      </w:r>
      <w:r>
        <w:rPr>
          <w:rFonts w:hint="eastAsia" w:ascii="宋体" w:hAnsi="宋体" w:eastAsia="宋体"/>
        </w:rPr>
        <w:t>建立活动影响评估机制，对可能引发社会风险的行业</w:t>
      </w:r>
      <w:r>
        <w:rPr>
          <w:rFonts w:ascii="宋体" w:hAnsi="宋体" w:eastAsia="宋体"/>
        </w:rPr>
        <w:t>内的</w:t>
      </w:r>
      <w:r>
        <w:rPr>
          <w:rFonts w:hint="eastAsia" w:ascii="宋体" w:hAnsi="宋体" w:eastAsia="宋体"/>
        </w:rPr>
        <w:t>重要事项应事先向政府有关部门报告。</w:t>
      </w:r>
    </w:p>
    <w:p>
      <w:pPr>
        <w:pStyle w:val="49"/>
      </w:pPr>
    </w:p>
    <w:p>
      <w:pPr>
        <w:pStyle w:val="47"/>
        <w:numPr>
          <w:ilvl w:val="1"/>
          <w:numId w:val="0"/>
        </w:numPr>
        <w:spacing w:before="156" w:after="156"/>
      </w:pPr>
      <w:bookmarkStart w:id="112" w:name="_Toc413850625"/>
      <w:bookmarkStart w:id="113" w:name="_Toc413846863"/>
      <w:bookmarkStart w:id="114" w:name="_Toc413850688"/>
      <w:bookmarkStart w:id="115" w:name="_Toc478734654"/>
      <w:r>
        <w:rPr>
          <w:rFonts w:hint="eastAsia"/>
        </w:rPr>
        <w:t>业务活动</w:t>
      </w:r>
      <w:bookmarkEnd w:id="112"/>
      <w:bookmarkEnd w:id="113"/>
      <w:bookmarkEnd w:id="114"/>
      <w:r>
        <w:rPr>
          <w:rFonts w:hint="eastAsia"/>
        </w:rPr>
        <w:t>能力</w:t>
      </w:r>
      <w:bookmarkEnd w:id="115"/>
      <w:bookmarkStart w:id="116" w:name="_Toc474331570"/>
      <w:bookmarkEnd w:id="116"/>
    </w:p>
    <w:p>
      <w:pPr>
        <w:pStyle w:val="46"/>
        <w:spacing w:before="156" w:after="156"/>
      </w:pPr>
      <w:r>
        <w:rPr>
          <w:rFonts w:hint="eastAsia" w:ascii="宋体" w:hAnsi="宋体" w:eastAsia="宋体"/>
        </w:rPr>
        <w:t>行业协会依法</w:t>
      </w:r>
      <w:r>
        <w:rPr>
          <w:rFonts w:ascii="宋体" w:hAnsi="宋体" w:eastAsia="宋体"/>
        </w:rPr>
        <w:t>并</w:t>
      </w:r>
      <w:r>
        <w:rPr>
          <w:rFonts w:hint="eastAsia" w:ascii="宋体" w:hAnsi="宋体" w:eastAsia="宋体"/>
        </w:rPr>
        <w:t>按照章程的规定开展活动、履行职能</w:t>
      </w:r>
      <w:r>
        <w:rPr>
          <w:rFonts w:hint="eastAsia"/>
        </w:rPr>
        <w:t>。</w:t>
      </w:r>
    </w:p>
    <w:p>
      <w:pPr>
        <w:pStyle w:val="46"/>
        <w:spacing w:before="156" w:after="156"/>
        <w:rPr>
          <w:rFonts w:ascii="宋体" w:hAnsi="宋体" w:eastAsia="宋体"/>
        </w:rPr>
      </w:pPr>
      <w:r>
        <w:rPr>
          <w:rFonts w:hint="eastAsia" w:ascii="宋体" w:hAnsi="宋体" w:eastAsia="宋体"/>
        </w:rPr>
        <w:t>行业协会应制定和实施中长期发展规划（</w:t>
      </w:r>
      <w:r>
        <w:rPr>
          <w:rFonts w:ascii="宋体" w:hAnsi="宋体" w:eastAsia="宋体"/>
        </w:rPr>
        <w:t>3</w:t>
      </w:r>
      <w:r>
        <w:rPr>
          <w:rFonts w:hint="eastAsia" w:ascii="宋体" w:hAnsi="宋体" w:eastAsia="宋体"/>
        </w:rPr>
        <w:t>年及以上），战略规划内容完整，并有落实执行。</w:t>
      </w:r>
    </w:p>
    <w:p>
      <w:pPr>
        <w:pStyle w:val="46"/>
        <w:spacing w:before="156" w:after="156"/>
        <w:rPr>
          <w:rFonts w:ascii="宋体" w:hAnsi="宋体" w:eastAsia="宋体"/>
        </w:rPr>
      </w:pPr>
      <w:r>
        <w:rPr>
          <w:rFonts w:hint="eastAsia" w:ascii="宋体" w:hAnsi="宋体" w:eastAsia="宋体"/>
        </w:rPr>
        <w:t>行业协会应根据会员（代表）大会、理事会的决议要求，完成年度业务工作计划，逐年提交年度工作报告。</w:t>
      </w:r>
    </w:p>
    <w:p>
      <w:pPr>
        <w:pStyle w:val="46"/>
        <w:spacing w:before="156" w:after="156"/>
        <w:rPr>
          <w:rFonts w:ascii="宋体" w:hAnsi="宋体" w:eastAsia="宋体"/>
        </w:rPr>
      </w:pPr>
      <w:r>
        <w:rPr>
          <w:rFonts w:hint="eastAsia" w:ascii="宋体" w:hAnsi="宋体" w:eastAsia="宋体"/>
        </w:rPr>
        <w:t>行业协会的会员数量达到法定最低数额。</w:t>
      </w:r>
    </w:p>
    <w:p>
      <w:pPr>
        <w:pStyle w:val="46"/>
        <w:spacing w:before="156" w:after="156"/>
        <w:rPr>
          <w:rFonts w:ascii="宋体" w:hAnsi="宋体" w:eastAsia="宋体"/>
        </w:rPr>
      </w:pPr>
      <w:r>
        <w:rPr>
          <w:rFonts w:hint="eastAsia" w:ascii="宋体" w:hAnsi="宋体" w:eastAsia="宋体"/>
        </w:rPr>
        <w:t>行业协会应建立会员数据库，明确会员资格及其权利、义务。</w:t>
      </w:r>
    </w:p>
    <w:p>
      <w:pPr>
        <w:pStyle w:val="46"/>
        <w:spacing w:before="156" w:after="156"/>
        <w:rPr>
          <w:rFonts w:ascii="宋体" w:hAnsi="宋体" w:eastAsia="宋体"/>
        </w:rPr>
      </w:pPr>
      <w:r>
        <w:rPr>
          <w:rFonts w:hint="eastAsia" w:ascii="宋体" w:hAnsi="宋体" w:eastAsia="宋体"/>
        </w:rPr>
        <w:t>行业协会的会员应履行义务，</w:t>
      </w:r>
      <w:r>
        <w:rPr>
          <w:rFonts w:ascii="宋体" w:hAnsi="宋体" w:eastAsia="宋体"/>
        </w:rPr>
        <w:t>有</w:t>
      </w:r>
      <w:r>
        <w:rPr>
          <w:rFonts w:hint="eastAsia" w:ascii="宋体" w:hAnsi="宋体" w:eastAsia="宋体"/>
        </w:rPr>
        <w:t>按期缴交会费等</w:t>
      </w:r>
      <w:r>
        <w:rPr>
          <w:rFonts w:ascii="宋体" w:hAnsi="宋体" w:eastAsia="宋体"/>
        </w:rPr>
        <w:t>行动支持行业协会发展</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行业协会应积极开展活动，</w:t>
      </w:r>
      <w:r>
        <w:rPr>
          <w:rFonts w:ascii="宋体" w:hAnsi="宋体" w:eastAsia="宋体"/>
        </w:rPr>
        <w:t>如</w:t>
      </w:r>
      <w:r>
        <w:rPr>
          <w:rFonts w:hint="eastAsia" w:ascii="宋体" w:hAnsi="宋体" w:eastAsia="宋体"/>
        </w:rPr>
        <w:t>参观、考察、研讨、洽谈、培训、联谊等，形成常规</w:t>
      </w:r>
      <w:r>
        <w:rPr>
          <w:rFonts w:ascii="宋体" w:hAnsi="宋体" w:eastAsia="宋体"/>
        </w:rPr>
        <w:t>业务</w:t>
      </w:r>
      <w:r>
        <w:rPr>
          <w:rFonts w:hint="eastAsia" w:ascii="宋体" w:hAnsi="宋体" w:eastAsia="宋体"/>
        </w:rPr>
        <w:t>，</w:t>
      </w:r>
      <w:r>
        <w:rPr>
          <w:rFonts w:ascii="宋体" w:hAnsi="宋体" w:eastAsia="宋体"/>
        </w:rPr>
        <w:t>形成</w:t>
      </w:r>
      <w:r>
        <w:rPr>
          <w:rFonts w:hint="eastAsia" w:ascii="宋体" w:hAnsi="宋体" w:eastAsia="宋体"/>
        </w:rPr>
        <w:t>特色品牌活动（如展会等）。</w:t>
      </w:r>
    </w:p>
    <w:p>
      <w:pPr>
        <w:pStyle w:val="46"/>
        <w:spacing w:before="156" w:after="156"/>
        <w:rPr>
          <w:rFonts w:ascii="宋体" w:hAnsi="宋体" w:eastAsia="宋体"/>
        </w:rPr>
      </w:pPr>
      <w:r>
        <w:rPr>
          <w:rFonts w:hint="eastAsia" w:ascii="宋体" w:hAnsi="宋体" w:eastAsia="宋体"/>
        </w:rPr>
        <w:t>行业协会有获得政府资助或政府委托项目及购买服务项目，项目执行良好。</w:t>
      </w:r>
    </w:p>
    <w:p>
      <w:pPr>
        <w:pStyle w:val="46"/>
        <w:spacing w:before="156" w:after="156"/>
        <w:rPr>
          <w:rFonts w:ascii="宋体" w:hAnsi="宋体" w:eastAsia="宋体"/>
        </w:rPr>
      </w:pPr>
      <w:r>
        <w:rPr>
          <w:rFonts w:hint="eastAsia" w:ascii="宋体" w:hAnsi="宋体" w:eastAsia="宋体"/>
        </w:rPr>
        <w:t>行业协会应强化会员服务。</w:t>
      </w:r>
    </w:p>
    <w:p>
      <w:pPr>
        <w:pStyle w:val="49"/>
        <w:rPr>
          <w:rFonts w:hAnsi="宋体"/>
          <w:szCs w:val="21"/>
        </w:rPr>
      </w:pPr>
      <w:r>
        <w:rPr>
          <w:rFonts w:hint="eastAsia" w:hAnsi="宋体"/>
          <w:szCs w:val="21"/>
        </w:rPr>
        <w:t>a</w:t>
      </w:r>
      <w:r>
        <w:rPr>
          <w:rFonts w:hAnsi="宋体"/>
          <w:szCs w:val="21"/>
        </w:rPr>
        <w:t>)</w:t>
      </w:r>
      <w:r>
        <w:rPr>
          <w:rFonts w:hint="eastAsia" w:hAnsi="宋体"/>
          <w:szCs w:val="21"/>
        </w:rPr>
        <w:t>帮助会员改善经营管理；</w:t>
      </w:r>
    </w:p>
    <w:p>
      <w:pPr>
        <w:pStyle w:val="49"/>
        <w:rPr>
          <w:rFonts w:hAnsi="宋体"/>
          <w:szCs w:val="21"/>
        </w:rPr>
      </w:pPr>
      <w:r>
        <w:rPr>
          <w:rFonts w:hAnsi="宋体"/>
          <w:szCs w:val="21"/>
        </w:rPr>
        <w:t>b)</w:t>
      </w:r>
      <w:r>
        <w:rPr>
          <w:rFonts w:hint="eastAsia" w:hAnsi="宋体"/>
          <w:szCs w:val="21"/>
        </w:rPr>
        <w:t>协助会员制定、实施行业标准；</w:t>
      </w:r>
    </w:p>
    <w:p>
      <w:pPr>
        <w:pStyle w:val="49"/>
        <w:rPr>
          <w:rFonts w:hAnsi="宋体"/>
          <w:szCs w:val="21"/>
        </w:rPr>
      </w:pPr>
      <w:r>
        <w:rPr>
          <w:rFonts w:hAnsi="宋体"/>
          <w:szCs w:val="21"/>
        </w:rPr>
        <w:t>c)</w:t>
      </w:r>
      <w:r>
        <w:rPr>
          <w:rFonts w:hint="eastAsia" w:hAnsi="宋体"/>
          <w:szCs w:val="21"/>
        </w:rPr>
        <w:t>开展会员培训，提供咨询服务；</w:t>
      </w:r>
    </w:p>
    <w:p>
      <w:pPr>
        <w:pStyle w:val="49"/>
        <w:rPr>
          <w:rFonts w:hAnsi="宋体"/>
          <w:szCs w:val="21"/>
        </w:rPr>
      </w:pPr>
      <w:r>
        <w:rPr>
          <w:rFonts w:hAnsi="宋体"/>
          <w:szCs w:val="21"/>
        </w:rPr>
        <w:t>d)</w:t>
      </w:r>
      <w:r>
        <w:rPr>
          <w:rFonts w:hint="eastAsia" w:hAnsi="宋体"/>
          <w:szCs w:val="21"/>
        </w:rPr>
        <w:t>维护会员权益；</w:t>
      </w:r>
    </w:p>
    <w:p>
      <w:pPr>
        <w:pStyle w:val="49"/>
        <w:rPr>
          <w:rFonts w:hAnsi="宋体"/>
          <w:szCs w:val="21"/>
        </w:rPr>
      </w:pPr>
      <w:r>
        <w:rPr>
          <w:rFonts w:hint="eastAsia" w:hAnsi="宋体"/>
          <w:szCs w:val="21"/>
        </w:rPr>
        <w:t>e)在会员中推动行业技术进步和技术创新；</w:t>
      </w:r>
    </w:p>
    <w:p>
      <w:pPr>
        <w:pStyle w:val="49"/>
        <w:rPr>
          <w:rFonts w:hAnsi="宋体"/>
          <w:szCs w:val="21"/>
        </w:rPr>
      </w:pPr>
      <w:r>
        <w:rPr>
          <w:rFonts w:hAnsi="宋体"/>
          <w:szCs w:val="21"/>
        </w:rPr>
        <w:t>f)</w:t>
      </w:r>
      <w:r>
        <w:rPr>
          <w:rFonts w:hint="eastAsia" w:hAnsi="宋体"/>
          <w:szCs w:val="21"/>
        </w:rPr>
        <w:t>组织会员间的交流活动；</w:t>
      </w:r>
    </w:p>
    <w:p>
      <w:pPr>
        <w:pStyle w:val="49"/>
        <w:rPr>
          <w:rFonts w:hAnsi="宋体"/>
          <w:szCs w:val="21"/>
        </w:rPr>
      </w:pPr>
      <w:r>
        <w:rPr>
          <w:rFonts w:hAnsi="宋体"/>
          <w:szCs w:val="21"/>
        </w:rPr>
        <w:t>g)</w:t>
      </w:r>
      <w:r>
        <w:rPr>
          <w:rFonts w:hint="eastAsia" w:hAnsi="宋体"/>
          <w:szCs w:val="21"/>
        </w:rPr>
        <w:t>行业协会应积极开展本行业从业人员技能培训、资质考核和技术职称评审工作。</w:t>
      </w:r>
    </w:p>
    <w:p>
      <w:pPr>
        <w:pStyle w:val="46"/>
        <w:spacing w:before="156" w:after="156"/>
        <w:rPr>
          <w:rFonts w:ascii="宋体" w:hAnsi="宋体" w:eastAsia="宋体"/>
        </w:rPr>
      </w:pPr>
      <w:r>
        <w:rPr>
          <w:rFonts w:hint="eastAsia" w:ascii="宋体" w:hAnsi="宋体" w:eastAsia="宋体"/>
        </w:rPr>
        <w:t>行业协会应参与行业发展。</w:t>
      </w:r>
    </w:p>
    <w:p>
      <w:pPr>
        <w:pStyle w:val="49"/>
        <w:rPr>
          <w:rFonts w:hAnsi="宋体"/>
          <w:szCs w:val="21"/>
        </w:rPr>
      </w:pPr>
      <w:r>
        <w:rPr>
          <w:rFonts w:hint="eastAsia" w:hAnsi="宋体"/>
          <w:szCs w:val="21"/>
        </w:rPr>
        <w:t>a)行业协会应逐年开展行业情况定期统计工作，代表本行业会员提出涉及本行业利益的意见和建议；</w:t>
      </w:r>
    </w:p>
    <w:p>
      <w:pPr>
        <w:pStyle w:val="49"/>
        <w:rPr>
          <w:rFonts w:hAnsi="宋体"/>
          <w:szCs w:val="21"/>
        </w:rPr>
      </w:pPr>
      <w:r>
        <w:rPr>
          <w:rFonts w:hAnsi="宋体"/>
          <w:szCs w:val="21"/>
        </w:rPr>
        <w:t>b)</w:t>
      </w:r>
      <w:r>
        <w:rPr>
          <w:rFonts w:hint="eastAsia" w:hAnsi="宋体"/>
          <w:szCs w:val="21"/>
        </w:rPr>
        <w:t>行业协会应草拟行业发展规划、行业政策、行业标准等；</w:t>
      </w:r>
    </w:p>
    <w:p>
      <w:pPr>
        <w:pStyle w:val="49"/>
        <w:rPr>
          <w:rFonts w:hAnsi="宋体"/>
          <w:szCs w:val="21"/>
        </w:rPr>
      </w:pPr>
      <w:r>
        <w:rPr>
          <w:rFonts w:hAnsi="宋体"/>
          <w:szCs w:val="21"/>
        </w:rPr>
        <w:t>c)</w:t>
      </w:r>
      <w:r>
        <w:rPr>
          <w:rFonts w:hint="eastAsia" w:hAnsi="宋体"/>
          <w:szCs w:val="21"/>
        </w:rPr>
        <w:t>行业协会应依法参与集体协商，签订行业性、区域性集体合同；</w:t>
      </w:r>
    </w:p>
    <w:p>
      <w:pPr>
        <w:pStyle w:val="49"/>
        <w:rPr>
          <w:rFonts w:hAnsi="宋体"/>
          <w:szCs w:val="21"/>
        </w:rPr>
      </w:pPr>
      <w:r>
        <w:rPr>
          <w:rFonts w:hAnsi="宋体"/>
          <w:szCs w:val="21"/>
        </w:rPr>
        <w:t>d)</w:t>
      </w:r>
      <w:r>
        <w:rPr>
          <w:rFonts w:hint="eastAsia" w:hAnsi="宋体"/>
          <w:szCs w:val="21"/>
        </w:rPr>
        <w:t>行业协会应积极调解贸易纠纷；</w:t>
      </w:r>
    </w:p>
    <w:p>
      <w:pPr>
        <w:pStyle w:val="49"/>
        <w:rPr>
          <w:rFonts w:hAnsi="宋体"/>
          <w:szCs w:val="21"/>
        </w:rPr>
      </w:pPr>
      <w:r>
        <w:rPr>
          <w:rFonts w:hAnsi="宋体"/>
          <w:szCs w:val="21"/>
        </w:rPr>
        <w:t>e)</w:t>
      </w:r>
      <w:r>
        <w:rPr>
          <w:rFonts w:hint="eastAsia" w:hAnsi="宋体"/>
          <w:szCs w:val="21"/>
        </w:rPr>
        <w:t>行业协会应积极开展行业市场评估，收集、发布行业信息，推广行业产品或服务；</w:t>
      </w:r>
    </w:p>
    <w:p>
      <w:pPr>
        <w:pStyle w:val="49"/>
        <w:rPr>
          <w:rFonts w:hAnsi="宋体"/>
          <w:szCs w:val="21"/>
        </w:rPr>
      </w:pPr>
      <w:r>
        <w:rPr>
          <w:rFonts w:hAnsi="宋体"/>
          <w:szCs w:val="21"/>
        </w:rPr>
        <w:t>f)</w:t>
      </w:r>
      <w:r>
        <w:rPr>
          <w:rFonts w:hint="eastAsia" w:hAnsi="宋体"/>
          <w:szCs w:val="21"/>
        </w:rPr>
        <w:t>行业协会应积极组织行业会展、招商活动；</w:t>
      </w:r>
    </w:p>
    <w:p>
      <w:pPr>
        <w:pStyle w:val="49"/>
        <w:ind w:left="420" w:leftChars="200" w:firstLine="0" w:firstLineChars="0"/>
        <w:rPr>
          <w:rFonts w:hAnsi="宋体"/>
          <w:szCs w:val="21"/>
        </w:rPr>
      </w:pPr>
      <w:r>
        <w:rPr>
          <w:rFonts w:hAnsi="宋体"/>
          <w:szCs w:val="21"/>
        </w:rPr>
        <w:t>g)</w:t>
      </w:r>
      <w:r>
        <w:rPr>
          <w:rFonts w:hint="eastAsia" w:hAnsi="宋体"/>
          <w:szCs w:val="21"/>
        </w:rPr>
        <w:t>行业协会应开展行业企业信用证明、地理标志证明商标、行业准入资质审查；</w:t>
      </w:r>
    </w:p>
    <w:p>
      <w:pPr>
        <w:pStyle w:val="49"/>
        <w:ind w:left="420" w:leftChars="200" w:firstLine="0" w:firstLineChars="0"/>
        <w:rPr>
          <w:rFonts w:hAnsi="宋体"/>
          <w:szCs w:val="21"/>
        </w:rPr>
      </w:pPr>
      <w:r>
        <w:rPr>
          <w:rFonts w:hAnsi="宋体"/>
          <w:szCs w:val="21"/>
        </w:rPr>
        <w:t>h)</w:t>
      </w:r>
      <w:r>
        <w:rPr>
          <w:rFonts w:hint="eastAsia" w:hAnsi="宋体"/>
          <w:szCs w:val="21"/>
        </w:rPr>
        <w:t>行业协会应对行业生产经营许可、进出口许可和行业重大技术改造、技术引进项目进行评估论证；</w:t>
      </w:r>
    </w:p>
    <w:p>
      <w:pPr>
        <w:pStyle w:val="49"/>
        <w:ind w:left="420" w:leftChars="200" w:firstLine="0" w:firstLineChars="0"/>
        <w:rPr>
          <w:rFonts w:hAnsi="宋体"/>
          <w:szCs w:val="21"/>
        </w:rPr>
      </w:pPr>
      <w:r>
        <w:rPr>
          <w:rFonts w:hAnsi="宋体"/>
          <w:szCs w:val="21"/>
        </w:rPr>
        <w:t>i)</w:t>
      </w:r>
      <w:r>
        <w:rPr>
          <w:rFonts w:hint="eastAsia" w:hAnsi="宋体"/>
          <w:szCs w:val="21"/>
        </w:rPr>
        <w:t>行业协会应积极规范本行业内的市场秩序；</w:t>
      </w:r>
    </w:p>
    <w:p>
      <w:pPr>
        <w:pStyle w:val="49"/>
        <w:ind w:left="420" w:leftChars="200" w:firstLine="0" w:firstLineChars="0"/>
        <w:rPr>
          <w:rFonts w:hAnsi="宋体"/>
          <w:szCs w:val="21"/>
        </w:rPr>
      </w:pPr>
      <w:r>
        <w:rPr>
          <w:rFonts w:hint="eastAsia" w:hAnsi="宋体"/>
          <w:szCs w:val="21"/>
        </w:rPr>
        <w:t>j)行业协会承接行政机关委托的其他促进行业发展的事项。</w:t>
      </w:r>
    </w:p>
    <w:p>
      <w:pPr>
        <w:pStyle w:val="46"/>
        <w:spacing w:before="156" w:after="156"/>
        <w:rPr>
          <w:rFonts w:ascii="宋体" w:hAnsi="宋体" w:eastAsia="宋体"/>
        </w:rPr>
      </w:pPr>
      <w:r>
        <w:rPr>
          <w:rFonts w:hint="eastAsia" w:ascii="宋体" w:hAnsi="宋体" w:eastAsia="宋体"/>
        </w:rPr>
        <w:t>行业协会应做好行业内外的沟通协调工作。</w:t>
      </w:r>
    </w:p>
    <w:p>
      <w:pPr>
        <w:pStyle w:val="49"/>
        <w:rPr>
          <w:rFonts w:hAnsi="宋体"/>
          <w:szCs w:val="21"/>
        </w:rPr>
      </w:pPr>
      <w:r>
        <w:rPr>
          <w:rFonts w:hint="eastAsia" w:hAnsi="宋体"/>
          <w:szCs w:val="21"/>
        </w:rPr>
        <w:t>a)协调会员之间、会员与非会员之间、会员与消费者之间在生产经营活动中产生的争议；</w:t>
      </w:r>
    </w:p>
    <w:p>
      <w:pPr>
        <w:pStyle w:val="49"/>
        <w:rPr>
          <w:rFonts w:hAnsi="宋体"/>
          <w:szCs w:val="21"/>
        </w:rPr>
      </w:pPr>
      <w:r>
        <w:rPr>
          <w:rFonts w:hAnsi="宋体"/>
          <w:szCs w:val="21"/>
        </w:rPr>
        <w:t>b)</w:t>
      </w:r>
      <w:r>
        <w:rPr>
          <w:rFonts w:hint="eastAsia" w:hAnsi="宋体"/>
          <w:szCs w:val="21"/>
        </w:rPr>
        <w:t>协调本协会和其他行业协会或组织的关系；</w:t>
      </w:r>
    </w:p>
    <w:p>
      <w:pPr>
        <w:pStyle w:val="49"/>
        <w:rPr>
          <w:rFonts w:hAnsi="宋体"/>
          <w:szCs w:val="21"/>
        </w:rPr>
      </w:pPr>
      <w:r>
        <w:rPr>
          <w:rFonts w:hAnsi="宋体"/>
          <w:szCs w:val="21"/>
        </w:rPr>
        <w:t>c)</w:t>
      </w:r>
      <w:r>
        <w:rPr>
          <w:rFonts w:hint="eastAsia" w:hAnsi="宋体"/>
          <w:szCs w:val="21"/>
        </w:rPr>
        <w:t>沟通本协会会员与市、区政府有关部门之间的联系，协助市、区政府有关部门开展工作；</w:t>
      </w:r>
    </w:p>
    <w:p>
      <w:pPr>
        <w:pStyle w:val="49"/>
        <w:rPr>
          <w:rFonts w:hAnsi="宋体"/>
          <w:szCs w:val="21"/>
        </w:rPr>
      </w:pPr>
      <w:r>
        <w:rPr>
          <w:rFonts w:hAnsi="宋体"/>
          <w:szCs w:val="21"/>
        </w:rPr>
        <w:t>d)</w:t>
      </w:r>
      <w:r>
        <w:rPr>
          <w:rFonts w:hint="eastAsia" w:hAnsi="宋体"/>
          <w:szCs w:val="21"/>
        </w:rPr>
        <w:t>在价格行政管理部门的指导下，监督行业内产品或服务定价，协调会员之间的价格争议，维护公平竞争。</w:t>
      </w:r>
    </w:p>
    <w:p>
      <w:pPr>
        <w:pStyle w:val="46"/>
        <w:spacing w:before="156" w:after="156"/>
        <w:rPr>
          <w:rFonts w:ascii="宋体" w:hAnsi="宋体" w:eastAsia="宋体"/>
        </w:rPr>
      </w:pPr>
      <w:r>
        <w:rPr>
          <w:rFonts w:hint="eastAsia" w:ascii="宋体" w:hAnsi="宋体" w:eastAsia="宋体"/>
        </w:rPr>
        <w:t>行业协会应积极参与公共管理。</w:t>
      </w:r>
    </w:p>
    <w:p>
      <w:pPr>
        <w:pStyle w:val="49"/>
        <w:rPr>
          <w:rFonts w:hAnsi="宋体"/>
          <w:szCs w:val="21"/>
        </w:rPr>
      </w:pPr>
      <w:r>
        <w:rPr>
          <w:rFonts w:hAnsi="宋体"/>
          <w:szCs w:val="21"/>
        </w:rPr>
        <w:t>a)</w:t>
      </w:r>
      <w:r>
        <w:rPr>
          <w:rFonts w:hint="eastAsia" w:hAnsi="宋体"/>
          <w:szCs w:val="21"/>
        </w:rPr>
        <w:t>行业</w:t>
      </w:r>
      <w:r>
        <w:rPr>
          <w:rFonts w:hAnsi="宋体"/>
          <w:szCs w:val="21"/>
        </w:rPr>
        <w:t>协会</w:t>
      </w:r>
      <w:r>
        <w:rPr>
          <w:rFonts w:hint="eastAsia" w:hAnsi="宋体"/>
          <w:szCs w:val="21"/>
        </w:rPr>
        <w:t>应结合相关法律法规和章程要求开展会员的诚信自律建设活动，建立</w:t>
      </w:r>
      <w:r>
        <w:rPr>
          <w:rFonts w:hAnsi="宋体"/>
          <w:szCs w:val="21"/>
        </w:rPr>
        <w:t>行业性诚信激励和惩戒机制</w:t>
      </w:r>
      <w:r>
        <w:rPr>
          <w:rFonts w:hint="eastAsia" w:hAnsi="宋体"/>
          <w:szCs w:val="21"/>
        </w:rPr>
        <w:t>；</w:t>
      </w:r>
    </w:p>
    <w:p>
      <w:pPr>
        <w:pStyle w:val="49"/>
        <w:rPr>
          <w:rFonts w:hAnsi="宋体"/>
          <w:szCs w:val="21"/>
        </w:rPr>
      </w:pPr>
      <w:r>
        <w:rPr>
          <w:rFonts w:hAnsi="宋体"/>
          <w:szCs w:val="21"/>
        </w:rPr>
        <w:t>b)</w:t>
      </w:r>
      <w:r>
        <w:rPr>
          <w:rFonts w:hint="eastAsia" w:hAnsi="宋体"/>
          <w:szCs w:val="21"/>
        </w:rPr>
        <w:t>行业协会参与涉及行业发展的行政管理决策的论证；</w:t>
      </w:r>
    </w:p>
    <w:p>
      <w:pPr>
        <w:pStyle w:val="49"/>
        <w:rPr>
          <w:rFonts w:hAnsi="宋体"/>
          <w:szCs w:val="21"/>
        </w:rPr>
      </w:pPr>
      <w:r>
        <w:rPr>
          <w:rFonts w:hAnsi="宋体"/>
          <w:szCs w:val="21"/>
        </w:rPr>
        <w:t>c)</w:t>
      </w:r>
      <w:r>
        <w:rPr>
          <w:rFonts w:hint="eastAsia" w:hAnsi="宋体"/>
          <w:szCs w:val="21"/>
        </w:rPr>
        <w:t>向市、区政府及有关部门反映涉及行业利益的事项，提出相关立法以及有关技术规范、行业发展规划制定等方面的意见和建议；</w:t>
      </w:r>
    </w:p>
    <w:p>
      <w:pPr>
        <w:pStyle w:val="49"/>
        <w:rPr>
          <w:rFonts w:hAnsi="宋体"/>
          <w:szCs w:val="21"/>
        </w:rPr>
      </w:pPr>
      <w:r>
        <w:rPr>
          <w:rFonts w:hAnsi="宋体"/>
          <w:szCs w:val="21"/>
        </w:rPr>
        <w:t>d)</w:t>
      </w:r>
      <w:r>
        <w:rPr>
          <w:rFonts w:hint="eastAsia" w:hAnsi="宋体"/>
          <w:szCs w:val="21"/>
        </w:rPr>
        <w:t>制定并组织实施行规、行约和行业职业道德准则，推动行业诚信建设；</w:t>
      </w:r>
    </w:p>
    <w:p>
      <w:pPr>
        <w:pStyle w:val="49"/>
        <w:rPr>
          <w:rFonts w:hAnsi="宋体"/>
          <w:szCs w:val="21"/>
        </w:rPr>
      </w:pPr>
      <w:r>
        <w:rPr>
          <w:rFonts w:hAnsi="宋体"/>
          <w:szCs w:val="21"/>
        </w:rPr>
        <w:t>e)</w:t>
      </w:r>
      <w:r>
        <w:rPr>
          <w:rFonts w:hint="eastAsia" w:hAnsi="宋体"/>
          <w:szCs w:val="21"/>
        </w:rPr>
        <w:t>参与协调会员与其员工之间的劳动争议，化解社会矛盾，维护社会稳定，促进社会和谐。</w:t>
      </w:r>
    </w:p>
    <w:p>
      <w:pPr>
        <w:pStyle w:val="46"/>
        <w:spacing w:before="156" w:after="156"/>
        <w:rPr>
          <w:rFonts w:ascii="宋体" w:hAnsi="宋体" w:eastAsia="宋体"/>
        </w:rPr>
      </w:pPr>
      <w:r>
        <w:rPr>
          <w:rFonts w:hint="eastAsia" w:ascii="宋体" w:hAnsi="宋体" w:eastAsia="宋体"/>
        </w:rPr>
        <w:t>行业协会应积极参加民政系统专业定点的社会组织教育培训活动。</w:t>
      </w:r>
    </w:p>
    <w:p>
      <w:pPr>
        <w:pStyle w:val="46"/>
        <w:spacing w:before="156" w:after="156"/>
        <w:rPr>
          <w:rFonts w:ascii="宋体" w:hAnsi="宋体" w:eastAsia="宋体"/>
        </w:rPr>
      </w:pPr>
      <w:r>
        <w:rPr>
          <w:rFonts w:hint="eastAsia" w:ascii="宋体" w:hAnsi="宋体" w:eastAsia="宋体"/>
        </w:rPr>
        <w:t>行业协会应积极组织并参与慈善救助，环保等公益活动。</w:t>
      </w:r>
    </w:p>
    <w:p>
      <w:pPr>
        <w:pStyle w:val="46"/>
        <w:spacing w:before="156" w:after="156"/>
        <w:rPr>
          <w:rFonts w:ascii="宋体" w:hAnsi="宋体" w:eastAsia="宋体"/>
        </w:rPr>
      </w:pPr>
      <w:r>
        <w:rPr>
          <w:rFonts w:hint="eastAsia" w:ascii="宋体" w:hAnsi="宋体" w:eastAsia="宋体"/>
        </w:rPr>
        <w:t>行业协会应积极开展国际交流活动。</w:t>
      </w:r>
    </w:p>
    <w:p>
      <w:pPr>
        <w:pStyle w:val="46"/>
        <w:spacing w:before="156" w:after="156"/>
        <w:rPr>
          <w:rFonts w:ascii="宋体" w:hAnsi="宋体" w:eastAsia="宋体"/>
        </w:rPr>
      </w:pPr>
      <w:r>
        <w:rPr>
          <w:rFonts w:hint="eastAsia" w:ascii="宋体" w:hAnsi="宋体" w:eastAsia="宋体"/>
        </w:rPr>
        <w:t>行业协会有受到政府</w:t>
      </w:r>
      <w:r>
        <w:rPr>
          <w:rFonts w:ascii="宋体" w:hAnsi="宋体" w:eastAsia="宋体"/>
        </w:rPr>
        <w:t>或相关</w:t>
      </w:r>
      <w:r>
        <w:rPr>
          <w:rFonts w:hint="eastAsia" w:ascii="宋体" w:hAnsi="宋体" w:eastAsia="宋体"/>
        </w:rPr>
        <w:t>政府部门的正式表彰和奖励。</w:t>
      </w:r>
    </w:p>
    <w:p>
      <w:pPr>
        <w:pStyle w:val="46"/>
        <w:spacing w:before="156" w:after="156"/>
        <w:rPr>
          <w:rFonts w:ascii="宋体" w:hAnsi="宋体" w:eastAsia="宋体"/>
        </w:rPr>
      </w:pPr>
      <w:r>
        <w:rPr>
          <w:rFonts w:hint="eastAsia" w:ascii="宋体" w:hAnsi="宋体" w:eastAsia="宋体"/>
        </w:rPr>
        <w:t>行业协会的党组织活动正常，并按照上级党委要求开展党建工作。</w:t>
      </w:r>
    </w:p>
    <w:p>
      <w:pPr>
        <w:pStyle w:val="49"/>
      </w:pPr>
    </w:p>
    <w:p>
      <w:pPr>
        <w:pStyle w:val="47"/>
        <w:numPr>
          <w:ilvl w:val="1"/>
          <w:numId w:val="0"/>
        </w:numPr>
        <w:spacing w:before="156" w:after="156"/>
      </w:pPr>
      <w:bookmarkStart w:id="117" w:name="_Toc413846866"/>
      <w:bookmarkStart w:id="118" w:name="_Toc413850628"/>
      <w:bookmarkStart w:id="119" w:name="_Toc478734655"/>
      <w:bookmarkStart w:id="120" w:name="_Toc413850691"/>
      <w:r>
        <w:rPr>
          <w:rFonts w:hint="eastAsia"/>
        </w:rPr>
        <w:t>财务管理规范</w:t>
      </w:r>
      <w:bookmarkEnd w:id="117"/>
      <w:bookmarkEnd w:id="118"/>
      <w:bookmarkEnd w:id="119"/>
      <w:bookmarkEnd w:id="120"/>
    </w:p>
    <w:p>
      <w:pPr>
        <w:pStyle w:val="46"/>
        <w:spacing w:before="156" w:after="156"/>
        <w:rPr>
          <w:rFonts w:ascii="宋体" w:hAnsi="宋体" w:eastAsia="宋体"/>
        </w:rPr>
      </w:pPr>
      <w:bookmarkStart w:id="121" w:name="_Toc474331576"/>
      <w:bookmarkEnd w:id="121"/>
      <w:bookmarkStart w:id="122" w:name="_Toc413850694"/>
      <w:bookmarkStart w:id="123" w:name="_Toc413846869"/>
      <w:bookmarkStart w:id="124" w:name="_Toc413850631"/>
      <w:r>
        <w:rPr>
          <w:rFonts w:hint="eastAsia" w:ascii="宋体" w:hAnsi="宋体" w:eastAsia="宋体"/>
        </w:rPr>
        <w:t>行业协会资产和经费来源应合法，收取费用、筹集资金或者接受、使用捐赠、资助应符合国家有关规定。行业协会的所有经费和财产应用于章程规定的业务活动。</w:t>
      </w:r>
    </w:p>
    <w:p>
      <w:pPr>
        <w:pStyle w:val="46"/>
        <w:spacing w:before="156" w:after="156"/>
        <w:rPr>
          <w:rFonts w:ascii="宋体" w:hAnsi="宋体" w:eastAsia="宋体"/>
        </w:rPr>
      </w:pPr>
      <w:r>
        <w:rPr>
          <w:rFonts w:hint="eastAsia" w:ascii="宋体" w:hAnsi="宋体" w:eastAsia="宋体"/>
        </w:rPr>
        <w:t>行业协会接受捐赠应符合章程规定的宗旨和业务范围，应根据与捐赠人约定的期限、方式和用途进行使用。</w:t>
      </w:r>
    </w:p>
    <w:p>
      <w:pPr>
        <w:pStyle w:val="46"/>
        <w:spacing w:before="156" w:after="156"/>
        <w:rPr>
          <w:rFonts w:ascii="宋体" w:hAnsi="宋体" w:eastAsia="宋体"/>
        </w:rPr>
      </w:pPr>
      <w:r>
        <w:rPr>
          <w:rFonts w:hint="eastAsia" w:ascii="宋体" w:hAnsi="宋体" w:eastAsia="宋体"/>
        </w:rPr>
        <w:t>行业协会各项服务收费应符合国家规定的范围、标准和自身实际需要。</w:t>
      </w:r>
    </w:p>
    <w:p>
      <w:pPr>
        <w:pStyle w:val="46"/>
        <w:spacing w:before="156" w:after="156"/>
        <w:rPr>
          <w:rFonts w:ascii="宋体" w:hAnsi="宋体" w:eastAsia="宋体"/>
        </w:rPr>
      </w:pPr>
      <w:r>
        <w:rPr>
          <w:rFonts w:hint="eastAsia" w:ascii="宋体" w:hAnsi="宋体" w:eastAsia="宋体"/>
        </w:rPr>
        <w:t>行业协会的会长、副会长、理事、监事、秘书长及其他工作人员不得从事未向会员披露的关联交易，不得以其他方式损害行业协会利益，给行业协会造成损失。</w:t>
      </w:r>
    </w:p>
    <w:p>
      <w:pPr>
        <w:pStyle w:val="46"/>
        <w:spacing w:before="156" w:after="156"/>
        <w:rPr>
          <w:rFonts w:ascii="宋体" w:hAnsi="宋体" w:eastAsia="宋体"/>
        </w:rPr>
      </w:pPr>
      <w:r>
        <w:rPr>
          <w:rFonts w:hint="eastAsia" w:ascii="宋体" w:hAnsi="宋体" w:eastAsia="宋体"/>
        </w:rPr>
        <w:t>行业协会应依据规定建立规范、操作性强的财务管理制度，并严格执行。</w:t>
      </w:r>
    </w:p>
    <w:p>
      <w:pPr>
        <w:pStyle w:val="46"/>
        <w:spacing w:before="156" w:after="156"/>
        <w:rPr>
          <w:rFonts w:ascii="宋体" w:hAnsi="宋体" w:eastAsia="宋体"/>
        </w:rPr>
      </w:pPr>
      <w:r>
        <w:rPr>
          <w:rFonts w:hint="eastAsia" w:ascii="宋体" w:hAnsi="宋体" w:eastAsia="宋体"/>
        </w:rPr>
        <w:t>行业协会应执行《民间非营利组织会计制度》，加强</w:t>
      </w:r>
      <w:r>
        <w:rPr>
          <w:rFonts w:ascii="宋体" w:hAnsi="宋体" w:eastAsia="宋体"/>
        </w:rPr>
        <w:t>对</w:t>
      </w:r>
      <w:r>
        <w:rPr>
          <w:rFonts w:hint="eastAsia" w:ascii="宋体" w:hAnsi="宋体" w:eastAsia="宋体"/>
        </w:rPr>
        <w:t>会计核算基础工作的</w:t>
      </w:r>
      <w:r>
        <w:rPr>
          <w:rFonts w:ascii="宋体" w:hAnsi="宋体" w:eastAsia="宋体"/>
        </w:rPr>
        <w:t>管理</w:t>
      </w:r>
      <w:r>
        <w:rPr>
          <w:rFonts w:hint="eastAsia" w:ascii="宋体" w:hAnsi="宋体" w:eastAsia="宋体"/>
        </w:rPr>
        <w:t>，所附原始凭证、填写记账凭证、登记账簿、编制财务报表应符合规范。</w:t>
      </w:r>
    </w:p>
    <w:p>
      <w:pPr>
        <w:pStyle w:val="46"/>
        <w:spacing w:before="156" w:after="156"/>
        <w:rPr>
          <w:rFonts w:ascii="宋体" w:hAnsi="宋体" w:eastAsia="宋体"/>
        </w:rPr>
      </w:pPr>
      <w:r>
        <w:rPr>
          <w:rFonts w:hint="eastAsia" w:ascii="宋体" w:hAnsi="宋体" w:eastAsia="宋体"/>
        </w:rPr>
        <w:t>行业协会年末净资产应不低于设立登记时的净资产。</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资产购置和处置应履行严格的审批程序，资产建立登记管理台账。</w:t>
      </w:r>
    </w:p>
    <w:p>
      <w:pPr>
        <w:pStyle w:val="46"/>
        <w:spacing w:before="156" w:after="156"/>
        <w:rPr>
          <w:rFonts w:ascii="宋体" w:hAnsi="宋体" w:eastAsia="宋体"/>
        </w:rPr>
      </w:pPr>
      <w:r>
        <w:rPr>
          <w:rFonts w:hint="eastAsia" w:ascii="宋体" w:hAnsi="宋体" w:eastAsia="宋体"/>
        </w:rPr>
        <w:t>行业协会应按照</w:t>
      </w:r>
      <w:r>
        <w:rPr>
          <w:rFonts w:ascii="宋体" w:hAnsi="宋体" w:eastAsia="宋体"/>
        </w:rPr>
        <w:t>规定进行</w:t>
      </w:r>
      <w:r>
        <w:rPr>
          <w:rFonts w:hint="eastAsia" w:ascii="宋体" w:hAnsi="宋体" w:eastAsia="宋体"/>
        </w:rPr>
        <w:t>各种</w:t>
      </w:r>
      <w:r>
        <w:rPr>
          <w:rFonts w:ascii="宋体" w:hAnsi="宋体" w:eastAsia="宋体"/>
        </w:rPr>
        <w:t>税项的申报和</w:t>
      </w:r>
      <w:r>
        <w:rPr>
          <w:rFonts w:hint="eastAsia" w:ascii="宋体" w:hAnsi="宋体" w:eastAsia="宋体"/>
        </w:rPr>
        <w:t>缴纳</w:t>
      </w:r>
      <w:r>
        <w:rPr>
          <w:rFonts w:ascii="宋体" w:hAnsi="宋体" w:eastAsia="宋体"/>
        </w:rPr>
        <w:t>。</w:t>
      </w:r>
      <w:r>
        <w:rPr>
          <w:rFonts w:hint="eastAsia" w:ascii="宋体" w:hAnsi="宋体" w:eastAsia="宋体"/>
        </w:rPr>
        <w:t>行业</w:t>
      </w:r>
      <w:r>
        <w:rPr>
          <w:rFonts w:ascii="宋体" w:hAnsi="宋体" w:eastAsia="宋体"/>
        </w:rPr>
        <w:t>协会应按照</w:t>
      </w:r>
      <w:r>
        <w:rPr>
          <w:rFonts w:hint="eastAsia" w:ascii="宋体" w:hAnsi="宋体" w:eastAsia="宋体"/>
        </w:rPr>
        <w:t>财政部、国家税务总局规定申请减免征税的资格条件，到税务主管部门申请办理免税资格。行业协会</w:t>
      </w:r>
      <w:r>
        <w:rPr>
          <w:rFonts w:ascii="宋体" w:hAnsi="宋体" w:eastAsia="宋体"/>
        </w:rPr>
        <w:t>的</w:t>
      </w:r>
      <w:r>
        <w:rPr>
          <w:rFonts w:hint="eastAsia" w:ascii="宋体" w:hAnsi="宋体" w:eastAsia="宋体"/>
        </w:rPr>
        <w:t>个人所得应依法办理纳税申报。</w:t>
      </w:r>
    </w:p>
    <w:p>
      <w:pPr>
        <w:pStyle w:val="46"/>
        <w:spacing w:before="156" w:after="156"/>
        <w:rPr>
          <w:rFonts w:ascii="宋体" w:hAnsi="宋体" w:eastAsia="宋体"/>
        </w:rPr>
      </w:pPr>
      <w:r>
        <w:rPr>
          <w:rFonts w:hint="eastAsia" w:ascii="宋体" w:hAnsi="宋体" w:eastAsia="宋体"/>
        </w:rPr>
        <w:t>行业协会应依据规定到票据管理部门申请办理票据领购手续，税务和财政票据应实行专人管理，并有领用、使用、核销登记手续。行</w:t>
      </w:r>
      <w:r>
        <w:rPr>
          <w:rFonts w:ascii="宋体" w:hAnsi="宋体" w:eastAsia="宋体"/>
        </w:rPr>
        <w:t>业协会</w:t>
      </w:r>
      <w:r>
        <w:rPr>
          <w:rFonts w:hint="eastAsia" w:ascii="宋体" w:hAnsi="宋体" w:eastAsia="宋体"/>
        </w:rPr>
        <w:t>对相关业务应使用正规的税务、财政票据。</w:t>
      </w:r>
      <w:r>
        <w:rPr>
          <w:rFonts w:ascii="宋体" w:hAnsi="宋体" w:eastAsia="宋体"/>
        </w:rPr>
        <w:t xml:space="preserve"> </w:t>
      </w:r>
    </w:p>
    <w:p>
      <w:pPr>
        <w:pStyle w:val="46"/>
        <w:spacing w:before="156" w:after="156"/>
        <w:rPr>
          <w:rFonts w:ascii="宋体" w:hAnsi="宋体" w:eastAsia="宋体"/>
        </w:rPr>
      </w:pPr>
      <w:r>
        <w:rPr>
          <w:rFonts w:hint="eastAsia" w:ascii="宋体" w:hAnsi="宋体" w:eastAsia="宋体"/>
        </w:rPr>
        <w:t>行业协会在换届和更换法定代表人之前，应委托会计师事务所进行离任财务审计。</w:t>
      </w:r>
    </w:p>
    <w:p>
      <w:pPr>
        <w:pStyle w:val="46"/>
        <w:spacing w:before="156" w:after="156"/>
        <w:rPr>
          <w:rFonts w:ascii="宋体" w:hAnsi="宋体" w:eastAsia="宋体"/>
        </w:rPr>
      </w:pPr>
      <w:r>
        <w:rPr>
          <w:rFonts w:hint="eastAsia" w:ascii="宋体" w:hAnsi="宋体" w:eastAsia="宋体"/>
        </w:rPr>
        <w:t>行业协会的财会人员应按规定实行会计、出纳分设，持从业资格证上岗，并有严格的岗位职责，做到分工明确。未设置专门财会人员的，应委托有资质的代理记账中介机构进行代理记账工作，并经理事会会议审议。</w:t>
      </w:r>
    </w:p>
    <w:p>
      <w:pPr>
        <w:pStyle w:val="46"/>
        <w:spacing w:before="156" w:after="156"/>
        <w:rPr>
          <w:rFonts w:ascii="宋体" w:hAnsi="宋体" w:eastAsia="宋体"/>
        </w:rPr>
      </w:pPr>
      <w:r>
        <w:rPr>
          <w:rFonts w:hint="eastAsia" w:ascii="宋体" w:hAnsi="宋体" w:eastAsia="宋体"/>
        </w:rPr>
        <w:t>行业协会的会计人员调动时，应办理对财务资料交接手续，建立规范的档案管理制度，加强会计档案管理。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行业协会年度总收入应保持稳定或持续增长，行业协会年末净资产应保持稳定或持续增长。</w:t>
      </w:r>
    </w:p>
    <w:p>
      <w:pPr>
        <w:pStyle w:val="49"/>
      </w:pPr>
    </w:p>
    <w:p>
      <w:pPr>
        <w:pStyle w:val="47"/>
        <w:numPr>
          <w:ilvl w:val="1"/>
          <w:numId w:val="0"/>
        </w:numPr>
        <w:spacing w:before="156" w:after="156"/>
      </w:pPr>
      <w:bookmarkStart w:id="125" w:name="_Toc478734656"/>
      <w:r>
        <w:rPr>
          <w:rFonts w:hint="eastAsia"/>
        </w:rPr>
        <w:t>信息公开规范</w:t>
      </w:r>
      <w:bookmarkEnd w:id="122"/>
      <w:bookmarkEnd w:id="123"/>
      <w:bookmarkEnd w:id="124"/>
      <w:bookmarkEnd w:id="125"/>
    </w:p>
    <w:p>
      <w:pPr>
        <w:pStyle w:val="46"/>
        <w:spacing w:before="156" w:after="156"/>
        <w:rPr>
          <w:rFonts w:ascii="宋体" w:hAnsi="宋体" w:eastAsia="宋体"/>
        </w:rPr>
      </w:pPr>
      <w:bookmarkStart w:id="126" w:name="_Toc474331582"/>
      <w:bookmarkEnd w:id="126"/>
      <w:r>
        <w:rPr>
          <w:rFonts w:hint="eastAsia" w:ascii="宋体" w:hAnsi="宋体" w:eastAsia="宋体"/>
        </w:rPr>
        <w:t>行业协会应建立健全信息公开管理制度，对公开信息的真实性、完整性、及时性负责。公开信息应便于公众获取，无虚假记载、误导性陈述或者重大遗漏。</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协会应</w:t>
      </w:r>
      <w:r>
        <w:rPr>
          <w:rFonts w:hint="eastAsia" w:ascii="宋体" w:hAnsi="宋体" w:eastAsia="宋体"/>
        </w:rPr>
        <w:t>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协会应</w:t>
      </w:r>
      <w:r>
        <w:rPr>
          <w:rFonts w:hint="eastAsia" w:ascii="宋体" w:hAnsi="宋体" w:eastAsia="宋体"/>
        </w:rPr>
        <w:t>妥善保管信息公开档案。</w:t>
      </w:r>
    </w:p>
    <w:p>
      <w:pPr>
        <w:pStyle w:val="46"/>
        <w:spacing w:before="156" w:after="156"/>
        <w:rPr>
          <w:rFonts w:ascii="宋体" w:hAnsi="宋体" w:eastAsia="宋体"/>
        </w:rPr>
      </w:pPr>
      <w:r>
        <w:rPr>
          <w:rFonts w:hint="eastAsia" w:ascii="宋体" w:hAnsi="宋体" w:eastAsia="宋体"/>
        </w:rPr>
        <w:t>行业协会应在网站等渠道公开相关资料，内容丰富，体现组织特点和业务范围。内容包括：</w:t>
      </w:r>
    </w:p>
    <w:p>
      <w:pPr>
        <w:pStyle w:val="74"/>
        <w:spacing w:before="156" w:after="156"/>
        <w:ind w:firstLine="420" w:firstLineChars="200"/>
        <w:rPr>
          <w:rFonts w:ascii="宋体" w:hAnsi="宋体" w:eastAsia="宋体"/>
        </w:rPr>
      </w:pPr>
      <w:r>
        <w:rPr>
          <w:rFonts w:hint="eastAsia" w:ascii="宋体" w:hAnsi="宋体" w:eastAsia="宋体"/>
        </w:rPr>
        <w:t>a)登记事项；</w:t>
      </w:r>
    </w:p>
    <w:p>
      <w:pPr>
        <w:pStyle w:val="74"/>
        <w:spacing w:before="156" w:after="156"/>
        <w:ind w:firstLine="420" w:firstLineChars="200"/>
        <w:rPr>
          <w:rFonts w:ascii="宋体" w:hAnsi="宋体" w:eastAsia="宋体"/>
        </w:rPr>
      </w:pPr>
      <w:r>
        <w:rPr>
          <w:rFonts w:hint="eastAsia" w:ascii="宋体" w:hAnsi="宋体" w:eastAsia="宋体"/>
        </w:rPr>
        <w:t>b)章程；</w:t>
      </w:r>
    </w:p>
    <w:p>
      <w:pPr>
        <w:pStyle w:val="74"/>
        <w:spacing w:before="156" w:after="156"/>
        <w:ind w:firstLine="420" w:firstLineChars="200"/>
        <w:rPr>
          <w:rFonts w:ascii="宋体" w:hAnsi="宋体" w:eastAsia="宋体"/>
        </w:rPr>
      </w:pPr>
      <w:r>
        <w:rPr>
          <w:rFonts w:hint="eastAsia" w:ascii="宋体" w:hAnsi="宋体" w:eastAsia="宋体"/>
        </w:rPr>
        <w:t>c)组织机构信息；</w:t>
      </w:r>
    </w:p>
    <w:p>
      <w:pPr>
        <w:pStyle w:val="74"/>
        <w:spacing w:before="156" w:after="156"/>
        <w:ind w:firstLine="420" w:firstLineChars="200"/>
        <w:rPr>
          <w:rFonts w:ascii="宋体" w:hAnsi="宋体" w:eastAsia="宋体"/>
        </w:rPr>
      </w:pPr>
      <w:r>
        <w:rPr>
          <w:rFonts w:hint="eastAsia" w:ascii="宋体" w:hAnsi="宋体" w:eastAsia="宋体"/>
        </w:rPr>
        <w:t>d)负责人、理事和监事名单；</w:t>
      </w:r>
    </w:p>
    <w:p>
      <w:pPr>
        <w:pStyle w:val="74"/>
        <w:spacing w:before="156" w:after="156"/>
        <w:ind w:firstLine="420" w:firstLineChars="200"/>
        <w:rPr>
          <w:rFonts w:ascii="宋体" w:hAnsi="宋体" w:eastAsia="宋体"/>
        </w:rPr>
      </w:pPr>
      <w:r>
        <w:rPr>
          <w:rFonts w:ascii="宋体" w:hAnsi="宋体" w:eastAsia="宋体"/>
        </w:rPr>
        <w:t>e)</w:t>
      </w:r>
      <w:r>
        <w:rPr>
          <w:rFonts w:hint="eastAsia" w:ascii="宋体" w:hAnsi="宋体" w:eastAsia="宋体"/>
        </w:rPr>
        <w:t>决策、执行、监督机构成员信息；</w:t>
      </w:r>
    </w:p>
    <w:p>
      <w:pPr>
        <w:pStyle w:val="74"/>
        <w:spacing w:before="156" w:after="156"/>
        <w:ind w:firstLine="420" w:firstLineChars="200"/>
        <w:rPr>
          <w:rFonts w:ascii="宋体" w:hAnsi="宋体" w:eastAsia="宋体"/>
        </w:rPr>
      </w:pPr>
      <w:r>
        <w:rPr>
          <w:rFonts w:ascii="宋体" w:hAnsi="宋体" w:eastAsia="宋体"/>
        </w:rPr>
        <w:t>f)</w:t>
      </w:r>
      <w:r>
        <w:rPr>
          <w:rFonts w:hint="eastAsia" w:ascii="宋体" w:hAnsi="宋体" w:eastAsia="宋体"/>
        </w:rPr>
        <w:t>许可事项；</w:t>
      </w:r>
    </w:p>
    <w:p>
      <w:pPr>
        <w:pStyle w:val="74"/>
        <w:spacing w:before="156" w:after="156"/>
        <w:ind w:firstLine="420" w:firstLineChars="200"/>
        <w:rPr>
          <w:rFonts w:ascii="宋体" w:hAnsi="宋体" w:eastAsia="宋体"/>
        </w:rPr>
      </w:pPr>
      <w:r>
        <w:rPr>
          <w:rFonts w:hint="eastAsia" w:ascii="宋体" w:hAnsi="宋体" w:eastAsia="宋体"/>
        </w:rPr>
        <w:t>g)是否认定为慈善组织；</w:t>
      </w:r>
    </w:p>
    <w:p>
      <w:pPr>
        <w:pStyle w:val="74"/>
        <w:spacing w:before="156" w:after="156"/>
        <w:ind w:firstLine="420" w:firstLineChars="200"/>
        <w:rPr>
          <w:rFonts w:ascii="宋体" w:hAnsi="宋体" w:eastAsia="宋体"/>
        </w:rPr>
      </w:pPr>
      <w:r>
        <w:rPr>
          <w:rFonts w:ascii="宋体" w:hAnsi="宋体" w:eastAsia="宋体"/>
        </w:rPr>
        <w:t>h)</w:t>
      </w:r>
      <w:r>
        <w:rPr>
          <w:rFonts w:hint="eastAsia" w:ascii="宋体" w:hAnsi="宋体" w:eastAsia="宋体"/>
        </w:rPr>
        <w:t>是否享有税收优惠、资助补贴等优惠措施；</w:t>
      </w:r>
    </w:p>
    <w:p>
      <w:pPr>
        <w:pStyle w:val="74"/>
        <w:spacing w:before="156" w:after="156"/>
        <w:ind w:firstLine="420" w:firstLineChars="200"/>
        <w:rPr>
          <w:rFonts w:ascii="宋体" w:hAnsi="宋体" w:eastAsia="宋体"/>
        </w:rPr>
      </w:pPr>
      <w:r>
        <w:rPr>
          <w:rFonts w:ascii="宋体" w:hAnsi="宋体" w:eastAsia="宋体"/>
        </w:rPr>
        <w:t>i)</w:t>
      </w:r>
      <w:r>
        <w:rPr>
          <w:rFonts w:hint="eastAsia" w:ascii="宋体" w:hAnsi="宋体" w:eastAsia="宋体"/>
        </w:rPr>
        <w:t>政府购买服务情况；</w:t>
      </w:r>
    </w:p>
    <w:p>
      <w:pPr>
        <w:pStyle w:val="74"/>
        <w:spacing w:before="156" w:after="156"/>
        <w:ind w:firstLine="420" w:firstLineChars="200"/>
        <w:rPr>
          <w:rFonts w:ascii="宋体" w:hAnsi="宋体" w:eastAsia="宋体"/>
        </w:rPr>
      </w:pPr>
      <w:r>
        <w:rPr>
          <w:rFonts w:hint="eastAsia" w:ascii="宋体" w:hAnsi="宋体" w:eastAsia="宋体"/>
        </w:rPr>
        <w:t>j)接收检查、抽查、评估的结果；</w:t>
      </w:r>
    </w:p>
    <w:p>
      <w:pPr>
        <w:pStyle w:val="74"/>
        <w:spacing w:before="156" w:after="156"/>
        <w:ind w:firstLine="420" w:firstLineChars="200"/>
        <w:rPr>
          <w:rFonts w:ascii="宋体" w:hAnsi="宋体" w:eastAsia="宋体"/>
        </w:rPr>
      </w:pPr>
      <w:r>
        <w:rPr>
          <w:rFonts w:ascii="宋体" w:hAnsi="宋体" w:eastAsia="宋体"/>
        </w:rPr>
        <w:t>k)</w:t>
      </w:r>
      <w:r>
        <w:rPr>
          <w:rFonts w:hint="eastAsia" w:ascii="宋体" w:hAnsi="宋体" w:eastAsia="宋体"/>
        </w:rPr>
        <w:t>接受表彰、处罚情况；</w:t>
      </w:r>
    </w:p>
    <w:p>
      <w:pPr>
        <w:pStyle w:val="74"/>
        <w:spacing w:before="156" w:after="156"/>
        <w:ind w:firstLine="420" w:firstLineChars="200"/>
        <w:rPr>
          <w:rFonts w:ascii="宋体" w:hAnsi="宋体" w:eastAsia="宋体"/>
        </w:rPr>
      </w:pPr>
      <w:r>
        <w:rPr>
          <w:rFonts w:ascii="宋体" w:hAnsi="宋体" w:eastAsia="宋体"/>
        </w:rPr>
        <w:t>l)</w:t>
      </w:r>
      <w:r>
        <w:rPr>
          <w:rFonts w:hint="eastAsia" w:ascii="宋体" w:hAnsi="宋体" w:eastAsia="宋体"/>
        </w:rPr>
        <w:t>服务内容和收费标准；</w:t>
      </w:r>
    </w:p>
    <w:p>
      <w:pPr>
        <w:pStyle w:val="74"/>
        <w:spacing w:before="156" w:after="156"/>
        <w:ind w:firstLine="420" w:firstLineChars="200"/>
        <w:rPr>
          <w:rFonts w:ascii="宋体" w:hAnsi="宋体" w:eastAsia="宋体"/>
        </w:rPr>
      </w:pPr>
      <w:r>
        <w:rPr>
          <w:rFonts w:ascii="宋体" w:hAnsi="宋体" w:eastAsia="宋体"/>
        </w:rPr>
        <w:t>m)</w:t>
      </w:r>
      <w:r>
        <w:rPr>
          <w:rFonts w:hint="eastAsia" w:ascii="宋体" w:hAnsi="宋体" w:eastAsia="宋体"/>
        </w:rPr>
        <w:t>接受捐赠和使用情况；</w:t>
      </w:r>
    </w:p>
    <w:p>
      <w:pPr>
        <w:pStyle w:val="74"/>
        <w:spacing w:before="156" w:after="156"/>
        <w:ind w:firstLine="420" w:firstLineChars="200"/>
        <w:rPr>
          <w:rFonts w:ascii="宋体" w:hAnsi="宋体" w:eastAsia="宋体"/>
        </w:rPr>
      </w:pPr>
      <w:r>
        <w:rPr>
          <w:rFonts w:ascii="宋体" w:hAnsi="宋体" w:eastAsia="宋体"/>
        </w:rPr>
        <w:t>n)</w:t>
      </w:r>
      <w:r>
        <w:rPr>
          <w:rFonts w:hint="eastAsia" w:ascii="宋体" w:hAnsi="宋体" w:eastAsia="宋体"/>
        </w:rPr>
        <w:t>设立分支机构情况。</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公布的信息内容中应包括机构名称、住所、业务范围、日常活动内容、咨询方式等，可以保证会员和社会公众能够方便快捷地查阅、询问。</w:t>
      </w:r>
    </w:p>
    <w:p>
      <w:pPr>
        <w:pStyle w:val="46"/>
        <w:spacing w:before="156" w:after="156"/>
        <w:rPr>
          <w:rFonts w:ascii="宋体" w:hAnsi="宋体" w:eastAsia="宋体"/>
        </w:rPr>
      </w:pPr>
      <w:r>
        <w:rPr>
          <w:rFonts w:hint="eastAsia" w:ascii="宋体" w:hAnsi="宋体" w:eastAsia="宋体"/>
        </w:rPr>
        <w:t>行业协会应及时</w:t>
      </w:r>
      <w:r>
        <w:rPr>
          <w:rFonts w:ascii="宋体" w:hAnsi="宋体" w:eastAsia="宋体"/>
        </w:rPr>
        <w:t>回应公众质疑。</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协会应</w:t>
      </w:r>
      <w:r>
        <w:rPr>
          <w:rFonts w:hint="eastAsia" w:ascii="宋体" w:hAnsi="宋体" w:eastAsia="宋体"/>
        </w:rPr>
        <w:t>在办公场所</w:t>
      </w:r>
      <w:r>
        <w:rPr>
          <w:rFonts w:ascii="宋体" w:hAnsi="宋体" w:eastAsia="宋体"/>
        </w:rPr>
        <w:t>和</w:t>
      </w:r>
      <w:r>
        <w:rPr>
          <w:rFonts w:hint="eastAsia" w:ascii="宋体" w:hAnsi="宋体" w:eastAsia="宋体"/>
        </w:rPr>
        <w:t>服务场所公开机构信息及服务信息。</w:t>
      </w:r>
    </w:p>
    <w:p>
      <w:pPr>
        <w:pStyle w:val="46"/>
        <w:spacing w:before="156" w:after="156"/>
        <w:rPr>
          <w:rFonts w:ascii="宋体" w:hAnsi="宋体" w:eastAsia="宋体"/>
        </w:rPr>
      </w:pPr>
      <w:r>
        <w:rPr>
          <w:rFonts w:hint="eastAsia" w:ascii="宋体" w:hAnsi="宋体" w:eastAsia="宋体"/>
        </w:rPr>
        <w:t>行业协会应及时向机构</w:t>
      </w:r>
      <w:r>
        <w:rPr>
          <w:rFonts w:ascii="宋体" w:hAnsi="宋体" w:eastAsia="宋体"/>
        </w:rPr>
        <w:t>内部</w:t>
      </w:r>
      <w:r>
        <w:rPr>
          <w:rFonts w:hint="eastAsia" w:ascii="宋体" w:hAnsi="宋体" w:eastAsia="宋体"/>
        </w:rPr>
        <w:t>公开规章制度、业务活动等相关信息。</w:t>
      </w:r>
    </w:p>
    <w:p>
      <w:pPr>
        <w:pStyle w:val="46"/>
        <w:spacing w:before="156" w:after="156"/>
      </w:pPr>
      <w:r>
        <w:rPr>
          <w:rFonts w:hint="eastAsia" w:ascii="宋体" w:hAnsi="宋体" w:eastAsia="宋体"/>
        </w:rPr>
        <w:t>行业协会应按章程规定向会员（代表）大会报告年度财务状况和重大经济活动情况。</w:t>
      </w:r>
    </w:p>
    <w:p>
      <w:pPr>
        <w:pStyle w:val="46"/>
        <w:spacing w:before="156" w:after="156"/>
        <w:rPr>
          <w:rFonts w:ascii="宋体" w:hAnsi="宋体" w:eastAsia="宋体"/>
        </w:rPr>
      </w:pPr>
      <w:r>
        <w:rPr>
          <w:rFonts w:hint="eastAsia" w:ascii="宋体" w:hAnsi="宋体" w:eastAsia="宋体"/>
        </w:rPr>
        <w:t>行业协会信息建设平台应多样，信息公开渠道应丰富。</w:t>
      </w:r>
    </w:p>
    <w:p>
      <w:pPr>
        <w:pStyle w:val="46"/>
        <w:spacing w:before="156" w:after="156"/>
        <w:rPr>
          <w:rFonts w:ascii="宋体" w:hAnsi="宋体" w:eastAsia="宋体"/>
        </w:rPr>
      </w:pPr>
      <w:r>
        <w:rPr>
          <w:rFonts w:hint="eastAsia" w:ascii="宋体" w:hAnsi="宋体" w:eastAsia="宋体"/>
        </w:rPr>
        <w:t>行业协会按规定向业务主管单位和登记管理机关编制并报送年报，年报内容真实。年报内容包括：遵守法律、法规、规章和国家政策的情况；履行登记手续的情况；按照章程开展活动的情况；人员和机构的情况以及财务管理的情况等。</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协会的</w:t>
      </w:r>
      <w:r>
        <w:rPr>
          <w:rFonts w:hint="eastAsia" w:ascii="宋体" w:hAnsi="宋体" w:eastAsia="宋体"/>
        </w:rPr>
        <w:t>年度工作报告应向社会公开。</w:t>
      </w:r>
    </w:p>
    <w:p>
      <w:pPr>
        <w:pStyle w:val="46"/>
        <w:spacing w:before="156" w:after="156"/>
        <w:rPr>
          <w:rFonts w:ascii="宋体" w:hAnsi="宋体" w:eastAsia="宋体"/>
        </w:rPr>
      </w:pPr>
      <w:r>
        <w:rPr>
          <w:rFonts w:hint="eastAsia" w:ascii="宋体" w:hAnsi="宋体" w:eastAsia="宋体"/>
        </w:rPr>
        <w:t>行业协会在编制</w:t>
      </w:r>
      <w:r>
        <w:rPr>
          <w:rFonts w:ascii="宋体" w:hAnsi="宋体" w:eastAsia="宋体"/>
        </w:rPr>
        <w:t>报送</w:t>
      </w:r>
      <w:r>
        <w:rPr>
          <w:rFonts w:hint="eastAsia" w:ascii="宋体" w:hAnsi="宋体" w:eastAsia="宋体"/>
        </w:rPr>
        <w:t>年报资料时按照要求真实准确填写《党建情况表》。</w:t>
      </w:r>
    </w:p>
    <w:p>
      <w:pPr>
        <w:pStyle w:val="46"/>
        <w:spacing w:before="156" w:after="156"/>
        <w:rPr>
          <w:rFonts w:ascii="宋体" w:hAnsi="宋体" w:eastAsia="宋体"/>
        </w:rPr>
        <w:sectPr>
          <w:footerReference r:id="rId3" w:type="default"/>
          <w:footerReference r:id="rId4" w:type="even"/>
          <w:pgSz w:w="11906" w:h="16838"/>
          <w:pgMar w:top="567" w:right="1134" w:bottom="1134" w:left="1418" w:header="1417" w:footer="1134" w:gutter="0"/>
          <w:pgNumType w:start="1" w:chapStyle="1"/>
          <w:cols w:space="425" w:num="1"/>
          <w:docGrid w:type="lines" w:linePitch="312" w:charSpace="0"/>
        </w:sectPr>
      </w:pPr>
      <w:r>
        <w:rPr>
          <w:rFonts w:hint="eastAsia" w:ascii="宋体" w:hAnsi="宋体" w:eastAsia="宋体"/>
        </w:rPr>
        <w:t>行业</w:t>
      </w:r>
      <w:r>
        <w:rPr>
          <w:rFonts w:ascii="宋体" w:hAnsi="宋体" w:eastAsia="宋体"/>
        </w:rPr>
        <w:t>协会不得</w:t>
      </w:r>
      <w:r>
        <w:rPr>
          <w:rFonts w:hint="eastAsia" w:ascii="宋体" w:hAnsi="宋体" w:eastAsia="宋体"/>
        </w:rPr>
        <w:t>公开涉及国家秘密、商业机密和个人隐私的信息以及法律、行政法规规定不予公开的其他信息。捐赠人不同意公开的信息，不得公开。</w:t>
      </w:r>
    </w:p>
    <w:tbl>
      <w:tblPr>
        <w:tblStyle w:val="32"/>
        <w:tblW w:w="9477" w:type="dxa"/>
        <w:jc w:val="center"/>
        <w:tblLayout w:type="fixed"/>
        <w:tblCellMar>
          <w:top w:w="0" w:type="dxa"/>
          <w:left w:w="108" w:type="dxa"/>
          <w:bottom w:w="0" w:type="dxa"/>
          <w:right w:w="108" w:type="dxa"/>
        </w:tblCellMar>
      </w:tblPr>
      <w:tblGrid>
        <w:gridCol w:w="9477"/>
      </w:tblGrid>
      <w:tr>
        <w:tblPrEx>
          <w:tblCellMar>
            <w:top w:w="0" w:type="dxa"/>
            <w:left w:w="108" w:type="dxa"/>
            <w:bottom w:w="0" w:type="dxa"/>
            <w:right w:w="108" w:type="dxa"/>
          </w:tblCellMar>
        </w:tblPrEx>
        <w:trPr>
          <w:trHeight w:val="930" w:hRule="atLeast"/>
          <w:jc w:val="center"/>
        </w:trPr>
        <w:tc>
          <w:tcPr>
            <w:tcW w:w="9477" w:type="dxa"/>
            <w:tcBorders>
              <w:top w:val="nil"/>
              <w:left w:val="nil"/>
              <w:bottom w:val="nil"/>
              <w:right w:val="nil"/>
            </w:tcBorders>
            <w:shd w:val="clear" w:color="auto" w:fill="auto"/>
            <w:vAlign w:val="center"/>
          </w:tcPr>
          <w:p>
            <w:pPr>
              <w:keepNext/>
              <w:widowControl/>
              <w:shd w:val="clear" w:color="auto" w:fill="FFFFFF"/>
              <w:ind w:left="720"/>
              <w:outlineLvl w:val="0"/>
              <w:rPr>
                <w:rFonts w:ascii="黑体" w:eastAsia="黑体"/>
                <w:kern w:val="0"/>
                <w:szCs w:val="21"/>
              </w:rPr>
            </w:pPr>
          </w:p>
          <w:p>
            <w:pPr>
              <w:keepNext/>
              <w:widowControl/>
              <w:shd w:val="clear" w:color="auto" w:fill="FFFFFF"/>
              <w:ind w:left="720"/>
              <w:jc w:val="center"/>
              <w:outlineLvl w:val="0"/>
              <w:rPr>
                <w:rFonts w:ascii="黑体" w:eastAsia="黑体"/>
                <w:kern w:val="0"/>
                <w:szCs w:val="21"/>
              </w:rPr>
            </w:pPr>
            <w:bookmarkStart w:id="127" w:name="_Toc478734657"/>
            <w:r>
              <w:rPr>
                <w:rFonts w:hint="eastAsia" w:ascii="黑体" w:eastAsia="黑体"/>
                <w:kern w:val="0"/>
                <w:szCs w:val="21"/>
              </w:rPr>
              <w:t>附录A</w:t>
            </w:r>
            <w:bookmarkEnd w:id="127"/>
          </w:p>
          <w:p>
            <w:pPr>
              <w:keepNext/>
              <w:widowControl/>
              <w:shd w:val="clear" w:color="auto" w:fill="FFFFFF"/>
              <w:ind w:left="720"/>
              <w:jc w:val="center"/>
              <w:outlineLvl w:val="0"/>
              <w:rPr>
                <w:rFonts w:ascii="黑体" w:eastAsia="黑体"/>
                <w:kern w:val="0"/>
                <w:szCs w:val="21"/>
              </w:rPr>
            </w:pPr>
            <w:bookmarkStart w:id="128" w:name="_Toc478734658"/>
            <w:r>
              <w:rPr>
                <w:rFonts w:hint="eastAsia" w:ascii="黑体" w:eastAsia="黑体"/>
                <w:kern w:val="0"/>
                <w:szCs w:val="21"/>
              </w:rPr>
              <w:t>（规范附录）</w:t>
            </w:r>
            <w:bookmarkEnd w:id="128"/>
          </w:p>
          <w:p>
            <w:pPr>
              <w:keepNext/>
              <w:widowControl/>
              <w:shd w:val="clear" w:color="auto" w:fill="FFFFFF"/>
              <w:ind w:left="720"/>
              <w:jc w:val="center"/>
              <w:outlineLvl w:val="0"/>
              <w:rPr>
                <w:rFonts w:ascii="黑体" w:eastAsia="黑体"/>
                <w:b/>
                <w:kern w:val="0"/>
                <w:szCs w:val="21"/>
              </w:rPr>
            </w:pPr>
            <w:bookmarkStart w:id="129" w:name="_Toc478734659"/>
            <w:r>
              <w:rPr>
                <w:rFonts w:hint="eastAsia" w:ascii="黑体" w:eastAsia="黑体"/>
                <w:b/>
                <w:kern w:val="0"/>
                <w:szCs w:val="21"/>
              </w:rPr>
              <w:t>社会团体评估指标评分表</w:t>
            </w:r>
            <w:bookmarkEnd w:id="129"/>
          </w:p>
          <w:p>
            <w:pPr>
              <w:keepNext/>
              <w:widowControl/>
              <w:shd w:val="clear" w:color="auto" w:fill="FFFFFF"/>
              <w:outlineLvl w:val="0"/>
              <w:rPr>
                <w:rFonts w:ascii="黑体" w:eastAsia="黑体"/>
                <w:kern w:val="0"/>
                <w:szCs w:val="21"/>
              </w:rPr>
            </w:pPr>
          </w:p>
          <w:p>
            <w:pPr>
              <w:keepNext/>
              <w:widowControl/>
              <w:shd w:val="clear" w:color="auto" w:fill="FFFFFF"/>
              <w:ind w:firstLine="315" w:firstLineChars="150"/>
              <w:outlineLvl w:val="0"/>
              <w:rPr>
                <w:rFonts w:ascii="黑体" w:eastAsia="黑体"/>
                <w:kern w:val="0"/>
                <w:szCs w:val="21"/>
              </w:rPr>
            </w:pPr>
            <w:bookmarkStart w:id="130" w:name="_Toc478734660"/>
            <w:bookmarkStart w:id="131" w:name="_Toc478717720"/>
            <w:r>
              <w:rPr>
                <w:rFonts w:hint="eastAsia" w:ascii="黑体" w:eastAsia="黑体"/>
                <w:kern w:val="0"/>
                <w:szCs w:val="21"/>
              </w:rPr>
              <w:t>考评员</w:t>
            </w:r>
            <w:r>
              <w:rPr>
                <w:rFonts w:ascii="黑体" w:eastAsia="黑体"/>
                <w:kern w:val="0"/>
                <w:szCs w:val="21"/>
              </w:rPr>
              <w:t>姓名：</w:t>
            </w:r>
            <w:r>
              <w:rPr>
                <w:rFonts w:hint="eastAsia" w:ascii="黑体" w:eastAsia="黑体"/>
                <w:kern w:val="0"/>
                <w:szCs w:val="21"/>
              </w:rPr>
              <w:t xml:space="preserve">                               被</w:t>
            </w:r>
            <w:r>
              <w:rPr>
                <w:rFonts w:ascii="黑体" w:eastAsia="黑体"/>
                <w:kern w:val="0"/>
                <w:szCs w:val="21"/>
              </w:rPr>
              <w:t>考评社会组织名称：</w:t>
            </w:r>
            <w:bookmarkEnd w:id="130"/>
            <w:bookmarkEnd w:id="131"/>
          </w:p>
          <w:p>
            <w:pPr>
              <w:keepNext/>
              <w:widowControl/>
              <w:shd w:val="clear" w:color="auto" w:fill="FFFFFF"/>
              <w:outlineLvl w:val="0"/>
              <w:rPr>
                <w:rFonts w:ascii="黑体" w:eastAsia="黑体"/>
                <w:kern w:val="0"/>
                <w:szCs w:val="21"/>
              </w:rPr>
            </w:pPr>
          </w:p>
          <w:p>
            <w:pPr>
              <w:keepNext/>
              <w:widowControl/>
              <w:shd w:val="clear" w:color="auto" w:fill="FFFFFF"/>
              <w:outlineLvl w:val="0"/>
              <w:rPr>
                <w:rFonts w:ascii="宋体" w:hAnsi="宋体"/>
                <w:bCs/>
                <w:kern w:val="0"/>
                <w:sz w:val="18"/>
                <w:szCs w:val="18"/>
              </w:rPr>
            </w:pPr>
          </w:p>
        </w:tc>
      </w:tr>
    </w:tbl>
    <w:p>
      <w:pPr>
        <w:pStyle w:val="157"/>
        <w:numPr>
          <w:ilvl w:val="0"/>
          <w:numId w:val="20"/>
        </w:numPr>
        <w:ind w:firstLineChars="0"/>
        <w:jc w:val="left"/>
        <w:rPr>
          <w:rFonts w:ascii="黑体" w:eastAsia="黑体"/>
          <w:kern w:val="0"/>
          <w:szCs w:val="21"/>
        </w:rPr>
      </w:pPr>
      <w:r>
        <w:rPr>
          <w:rFonts w:hint="eastAsia" w:ascii="黑体" w:eastAsia="黑体"/>
          <w:kern w:val="0"/>
          <w:szCs w:val="21"/>
        </w:rPr>
        <w:t>依法登记和接受监督要求</w:t>
      </w:r>
    </w:p>
    <w:p/>
    <w:tbl>
      <w:tblPr>
        <w:tblStyle w:val="32"/>
        <w:tblW w:w="8520" w:type="dxa"/>
        <w:jc w:val="center"/>
        <w:tblLayout w:type="fixed"/>
        <w:tblCellMar>
          <w:top w:w="0" w:type="dxa"/>
          <w:left w:w="108" w:type="dxa"/>
          <w:bottom w:w="0" w:type="dxa"/>
          <w:right w:w="108" w:type="dxa"/>
        </w:tblCellMar>
      </w:tblPr>
      <w:tblGrid>
        <w:gridCol w:w="772"/>
        <w:gridCol w:w="1464"/>
        <w:gridCol w:w="4248"/>
        <w:gridCol w:w="994"/>
        <w:gridCol w:w="1042"/>
      </w:tblGrid>
      <w:tr>
        <w:tblPrEx>
          <w:tblCellMar>
            <w:top w:w="0" w:type="dxa"/>
            <w:left w:w="108" w:type="dxa"/>
            <w:bottom w:w="0" w:type="dxa"/>
            <w:right w:w="108" w:type="dxa"/>
          </w:tblCellMar>
        </w:tblPrEx>
        <w:trPr>
          <w:trHeight w:val="930"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jc w:val="center"/>
        </w:trPr>
        <w:tc>
          <w:tcPr>
            <w:tcW w:w="77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登记情况</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是否依法登记</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纳税情况</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登记后是否依法办理税务登记和纳税</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办公条件</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是否有固定的住所，且满足办公需要</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702"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是否具备相应的办公设备</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办公场所是否悬挂单位名称牌匾</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履行章程情况</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是否按照会员（代表）大会通过并报登记管理机关核准的机构章程开展工作</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合规管理</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是否有违法行为记录</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变更登记</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xml:space="preserve">登记事项发生变更时，是否在30日内向登记管理机关申请变更登记 </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异常活动名录</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是否在登记管理机关的异常活动名录中</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负责人管理</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xml:space="preserve">社会团体的负责人是否在任职前公示 </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719"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sz w:val="18"/>
                <w:szCs w:val="18"/>
              </w:rPr>
              <w:t>有以下情形的</w:t>
            </w:r>
            <w:r>
              <w:rPr>
                <w:rFonts w:ascii="宋体" w:hAnsi="宋体"/>
                <w:sz w:val="18"/>
                <w:szCs w:val="18"/>
              </w:rPr>
              <w:t>不</w:t>
            </w:r>
            <w:r>
              <w:rPr>
                <w:rFonts w:hint="eastAsia" w:ascii="宋体" w:hAnsi="宋体"/>
                <w:sz w:val="18"/>
                <w:szCs w:val="18"/>
              </w:rPr>
              <w:t>得</w:t>
            </w:r>
            <w:r>
              <w:rPr>
                <w:rFonts w:ascii="宋体" w:hAnsi="宋体"/>
                <w:sz w:val="18"/>
                <w:szCs w:val="18"/>
              </w:rPr>
              <w:t>担任</w:t>
            </w:r>
            <w:r>
              <w:rPr>
                <w:rFonts w:hint="eastAsia" w:ascii="宋体" w:hAnsi="宋体"/>
                <w:sz w:val="18"/>
                <w:szCs w:val="18"/>
              </w:rPr>
              <w:t>社会团体的法定代表人及负责人</w:t>
            </w:r>
            <w:r>
              <w:rPr>
                <w:rFonts w:hint="eastAsia" w:ascii="宋体" w:hAnsi="宋体"/>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法定代表人是否同时担任其他社会团体的法定代表人</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10</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负责人是否参与登记管理机关组织的培训活动</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478" w:type="dxa"/>
            <w:gridSpan w:val="4"/>
            <w:tcBorders>
              <w:top w:val="nil"/>
              <w:left w:val="nil"/>
              <w:bottom w:val="nil"/>
              <w:right w:val="nil"/>
            </w:tcBorders>
            <w:shd w:val="clear" w:color="auto" w:fill="auto"/>
            <w:vAlign w:val="center"/>
          </w:tcPr>
          <w:p>
            <w:pPr>
              <w:pStyle w:val="157"/>
              <w:numPr>
                <w:ilvl w:val="0"/>
                <w:numId w:val="20"/>
              </w:numPr>
              <w:ind w:firstLineChars="0"/>
              <w:rPr>
                <w:rFonts w:ascii="宋体" w:hAnsi="宋体" w:cs="宋体"/>
                <w:bCs/>
                <w:kern w:val="0"/>
                <w:sz w:val="18"/>
                <w:szCs w:val="18"/>
              </w:rPr>
            </w:pPr>
            <w:r>
              <w:rPr>
                <w:rFonts w:hint="eastAsia" w:ascii="黑体" w:hAnsi="黑体" w:eastAsia="黑体" w:cs="宋体"/>
                <w:bCs/>
                <w:kern w:val="0"/>
                <w:szCs w:val="21"/>
              </w:rPr>
              <w:t>内部治理要求</w:t>
            </w:r>
          </w:p>
        </w:tc>
        <w:tc>
          <w:tcPr>
            <w:tcW w:w="1042" w:type="dxa"/>
            <w:tcBorders>
              <w:top w:val="nil"/>
              <w:left w:val="nil"/>
              <w:bottom w:val="nil"/>
              <w:right w:val="nil"/>
            </w:tcBorders>
            <w:shd w:val="clear" w:color="auto" w:fill="auto"/>
            <w:vAlign w:val="center"/>
          </w:tcPr>
          <w:p>
            <w:pPr>
              <w:widowControl/>
              <w:jc w:val="left"/>
              <w:rPr>
                <w:rFonts w:ascii="宋体" w:hAnsi="宋体"/>
                <w:kern w:val="0"/>
                <w:sz w:val="18"/>
                <w:szCs w:val="18"/>
              </w:rPr>
            </w:pPr>
          </w:p>
        </w:tc>
      </w:tr>
      <w:tr>
        <w:tblPrEx>
          <w:tblCellMar>
            <w:top w:w="0" w:type="dxa"/>
            <w:left w:w="108" w:type="dxa"/>
            <w:bottom w:w="0" w:type="dxa"/>
            <w:right w:w="108" w:type="dxa"/>
          </w:tblCellMar>
        </w:tblPrEx>
        <w:trPr>
          <w:trHeight w:val="976" w:hRule="atLeast"/>
          <w:jc w:val="center"/>
        </w:trPr>
        <w:tc>
          <w:tcPr>
            <w:tcW w:w="77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4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jc w:val="center"/>
        </w:trPr>
        <w:tc>
          <w:tcPr>
            <w:tcW w:w="772" w:type="dxa"/>
            <w:vMerge w:val="restart"/>
            <w:tcBorders>
              <w:top w:val="nil"/>
              <w:left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p>
            <w:pPr>
              <w:widowControl/>
              <w:jc w:val="center"/>
              <w:rPr>
                <w:rFonts w:ascii="宋体" w:hAnsi="宋体"/>
                <w:bCs/>
                <w:kern w:val="0"/>
                <w:sz w:val="18"/>
                <w:szCs w:val="18"/>
              </w:rPr>
            </w:pPr>
            <w:r>
              <w:rPr>
                <w:rFonts w:hint="eastAsia" w:ascii="宋体" w:hAnsi="宋体"/>
                <w:bCs/>
                <w:kern w:val="0"/>
                <w:sz w:val="18"/>
                <w:szCs w:val="18"/>
              </w:rPr>
              <w:t>　</w:t>
            </w:r>
          </w:p>
          <w:p>
            <w:pPr>
              <w:widowControl/>
              <w:jc w:val="center"/>
              <w:rPr>
                <w:rFonts w:ascii="宋体" w:hAnsi="宋体"/>
                <w:bCs/>
                <w:kern w:val="0"/>
                <w:sz w:val="18"/>
                <w:szCs w:val="18"/>
              </w:rPr>
            </w:pPr>
            <w:r>
              <w:rPr>
                <w:rFonts w:hint="eastAsia" w:ascii="宋体" w:hAnsi="宋体"/>
                <w:bCs/>
                <w:kern w:val="0"/>
                <w:sz w:val="18"/>
                <w:szCs w:val="18"/>
              </w:rPr>
              <w:t>　</w:t>
            </w:r>
          </w:p>
          <w:p>
            <w:pPr>
              <w:jc w:val="center"/>
              <w:rPr>
                <w:rFonts w:ascii="宋体" w:hAnsi="宋体"/>
                <w:bCs/>
                <w:kern w:val="0"/>
                <w:sz w:val="18"/>
                <w:szCs w:val="18"/>
              </w:rPr>
            </w:pPr>
            <w:r>
              <w:rPr>
                <w:rFonts w:hint="eastAsia" w:ascii="宋体" w:hAnsi="宋体"/>
                <w:bCs/>
                <w:kern w:val="0"/>
                <w:sz w:val="18"/>
                <w:szCs w:val="18"/>
              </w:rPr>
              <w:t>　</w:t>
            </w:r>
          </w:p>
        </w:tc>
        <w:tc>
          <w:tcPr>
            <w:tcW w:w="14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法人治理结构</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是否依照法规规章规范性</w:t>
            </w:r>
            <w:r>
              <w:rPr>
                <w:rFonts w:ascii="宋体" w:hAnsi="宋体"/>
                <w:kern w:val="0"/>
                <w:sz w:val="18"/>
                <w:szCs w:val="18"/>
              </w:rPr>
              <w:t>文件</w:t>
            </w:r>
            <w:r>
              <w:rPr>
                <w:rFonts w:hint="eastAsia" w:ascii="宋体" w:hAnsi="宋体"/>
                <w:kern w:val="0"/>
                <w:sz w:val="18"/>
                <w:szCs w:val="18"/>
              </w:rPr>
              <w:t>政策和章程建立健全法人治理结构和运行机制</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left w:val="single" w:color="auto" w:sz="4" w:space="0"/>
              <w:right w:val="nil"/>
            </w:tcBorders>
            <w:shd w:val="clear" w:color="auto" w:fill="auto"/>
            <w:vAlign w:val="center"/>
          </w:tcPr>
          <w:p>
            <w:pPr>
              <w:jc w:val="center"/>
              <w:rPr>
                <w:rFonts w:ascii="宋体" w:hAnsi="宋体"/>
                <w:bCs/>
                <w:kern w:val="0"/>
                <w:sz w:val="18"/>
                <w:szCs w:val="18"/>
              </w:rPr>
            </w:pPr>
          </w:p>
        </w:tc>
        <w:tc>
          <w:tcPr>
            <w:tcW w:w="146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会员（代表）大会</w:t>
            </w:r>
          </w:p>
        </w:tc>
        <w:tc>
          <w:tcPr>
            <w:tcW w:w="4248" w:type="dxa"/>
            <w:tcBorders>
              <w:top w:val="nil"/>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是否按法规规章、</w:t>
            </w:r>
            <w:r>
              <w:rPr>
                <w:rFonts w:ascii="宋体" w:hAnsi="宋体"/>
                <w:kern w:val="0"/>
                <w:sz w:val="18"/>
                <w:szCs w:val="18"/>
              </w:rPr>
              <w:t>规范性文件</w:t>
            </w:r>
            <w:r>
              <w:rPr>
                <w:rFonts w:hint="eastAsia" w:ascii="宋体" w:hAnsi="宋体"/>
                <w:kern w:val="0"/>
                <w:sz w:val="18"/>
                <w:szCs w:val="18"/>
              </w:rPr>
              <w:t>和章程规定的时限、条件和程序</w:t>
            </w:r>
            <w:r>
              <w:rPr>
                <w:rFonts w:hint="eastAsia" w:ascii="宋体" w:hAnsi="宋体"/>
                <w:sz w:val="18"/>
                <w:szCs w:val="18"/>
              </w:rPr>
              <w:t>召开会员代表</w:t>
            </w:r>
            <w:r>
              <w:rPr>
                <w:rFonts w:ascii="宋体" w:hAnsi="宋体"/>
                <w:sz w:val="18"/>
                <w:szCs w:val="18"/>
              </w:rPr>
              <w:t>大会</w:t>
            </w:r>
          </w:p>
        </w:tc>
        <w:tc>
          <w:tcPr>
            <w:tcW w:w="9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1042"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left w:val="single" w:color="auto" w:sz="4" w:space="0"/>
              <w:right w:val="nil"/>
            </w:tcBorders>
            <w:shd w:val="clear" w:color="auto" w:fill="auto"/>
            <w:vAlign w:val="center"/>
          </w:tcPr>
          <w:p>
            <w:pPr>
              <w:jc w:val="center"/>
              <w:rPr>
                <w:rFonts w:ascii="宋体" w:hAnsi="宋体"/>
                <w:bCs/>
                <w:kern w:val="0"/>
                <w:sz w:val="18"/>
                <w:szCs w:val="18"/>
              </w:rPr>
            </w:pPr>
          </w:p>
        </w:tc>
        <w:tc>
          <w:tcPr>
            <w:tcW w:w="146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理事会</w:t>
            </w:r>
          </w:p>
        </w:tc>
        <w:tc>
          <w:tcPr>
            <w:tcW w:w="4248" w:type="dxa"/>
            <w:tcBorders>
              <w:top w:val="single" w:color="auto" w:sz="4" w:space="0"/>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按照章程规定设立理事会。是否按照章程规定的时限、条件和程序召开理事会。理事会作用是否发挥良好</w:t>
            </w:r>
          </w:p>
        </w:tc>
        <w:tc>
          <w:tcPr>
            <w:tcW w:w="9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1042"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left w:val="single" w:color="auto" w:sz="4" w:space="0"/>
              <w:bottom w:val="nil"/>
              <w:right w:val="nil"/>
            </w:tcBorders>
            <w:shd w:val="clear" w:color="auto" w:fill="auto"/>
            <w:vAlign w:val="center"/>
          </w:tcPr>
          <w:p>
            <w:pPr>
              <w:widowControl/>
              <w:jc w:val="center"/>
              <w:rPr>
                <w:rFonts w:ascii="宋体" w:hAnsi="宋体"/>
                <w:bCs/>
                <w:kern w:val="0"/>
                <w:sz w:val="18"/>
                <w:szCs w:val="18"/>
              </w:rPr>
            </w:pPr>
          </w:p>
        </w:tc>
        <w:tc>
          <w:tcPr>
            <w:tcW w:w="1464"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监事、监事会</w:t>
            </w:r>
          </w:p>
        </w:tc>
        <w:tc>
          <w:tcPr>
            <w:tcW w:w="4248"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按照章程规定设立监事会。是否按照章程规定的时限、条件和程序召开监事会。</w:t>
            </w:r>
            <w:r>
              <w:rPr>
                <w:rFonts w:ascii="宋体" w:hAnsi="宋体"/>
                <w:sz w:val="18"/>
                <w:szCs w:val="18"/>
              </w:rPr>
              <w:t>监事会</w:t>
            </w:r>
            <w:r>
              <w:rPr>
                <w:rFonts w:hint="eastAsia" w:ascii="宋体" w:hAnsi="宋体"/>
                <w:sz w:val="18"/>
                <w:szCs w:val="18"/>
              </w:rPr>
              <w:t>、</w:t>
            </w:r>
            <w:r>
              <w:rPr>
                <w:rFonts w:ascii="宋体" w:hAnsi="宋体"/>
                <w:sz w:val="18"/>
                <w:szCs w:val="18"/>
              </w:rPr>
              <w:t>监事是否履行职责并发挥作用</w:t>
            </w:r>
          </w:p>
        </w:tc>
        <w:tc>
          <w:tcPr>
            <w:tcW w:w="9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内部监督机制</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建立健全内部监督机制，落实民主选举、民主决策和民主管理</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负责人任职</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理事长(会长)、副理事长(副会长)的任职条件、产生程序和职责履行是否符合章程的规定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秘书长的任职条件、产生程序和职责履行是否符合章程的规定</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86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党建工作</w:t>
            </w: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rPr>
              <w:t>。</w:t>
            </w:r>
            <w:r>
              <w:rPr>
                <w:rFonts w:hint="eastAsia" w:ascii="宋体" w:hAnsi="宋体"/>
                <w:sz w:val="18"/>
                <w:szCs w:val="18"/>
              </w:rPr>
              <w:t>党组织是否参与社会</w:t>
            </w:r>
            <w:r>
              <w:rPr>
                <w:rFonts w:ascii="宋体" w:hAnsi="宋体"/>
                <w:sz w:val="18"/>
                <w:szCs w:val="18"/>
              </w:rPr>
              <w:t>团体重大问题</w:t>
            </w:r>
            <w:r>
              <w:rPr>
                <w:rFonts w:hint="eastAsia" w:ascii="宋体" w:hAnsi="宋体"/>
                <w:sz w:val="18"/>
                <w:szCs w:val="18"/>
              </w:rPr>
              <w:t>的</w:t>
            </w:r>
            <w:r>
              <w:rPr>
                <w:rFonts w:ascii="宋体" w:hAnsi="宋体"/>
                <w:sz w:val="18"/>
                <w:szCs w:val="18"/>
              </w:rPr>
              <w:t>决策</w:t>
            </w:r>
            <w:r>
              <w:rPr>
                <w:rFonts w:hint="eastAsia" w:ascii="宋体" w:hAnsi="宋体"/>
                <w:sz w:val="18"/>
                <w:szCs w:val="18"/>
              </w:rPr>
              <w:t>。</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组织机构运行</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会员(代表)大会的职权和运行是否符合章程的规定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理事会的职权和运行是否符合章程的规定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sz w:val="18"/>
                <w:szCs w:val="18"/>
              </w:rPr>
              <w:t>监事会（监事）</w:t>
            </w:r>
            <w:r>
              <w:rPr>
                <w:rFonts w:hint="eastAsia" w:ascii="宋体" w:hAnsi="宋体"/>
                <w:kern w:val="0"/>
                <w:sz w:val="18"/>
                <w:szCs w:val="18"/>
              </w:rPr>
              <w:t>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秘书处的职权和运行是否符合章程的规定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388"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nil"/>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分支机构、代表机构管理</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是否对分支机构、代表机构进行规范化管理，分支机构、代表机构是否在授权的范围内开展活动、发展会员</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工作人员管理</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国家机关工作人员、按照有关规定不得担任社会团体领导职务的人员，不应在社团任职</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理事长</w:t>
            </w:r>
            <w:r>
              <w:rPr>
                <w:rFonts w:ascii="宋体" w:hAnsi="宋体"/>
                <w:kern w:val="0"/>
                <w:sz w:val="18"/>
                <w:szCs w:val="18"/>
              </w:rPr>
              <w:t>（</w:t>
            </w:r>
            <w:r>
              <w:rPr>
                <w:rFonts w:hint="eastAsia" w:ascii="宋体" w:hAnsi="宋体"/>
                <w:kern w:val="0"/>
                <w:sz w:val="18"/>
                <w:szCs w:val="18"/>
              </w:rPr>
              <w:t>会长）是否兼任秘书长</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是否有与业务活动相适应的专职工作人员</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人力资源管理</w:t>
            </w: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专职工作团队是否保持稳定或持续增长</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是否制定并执行工作人员聘用、任职和薪酬制度</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是否制定并执行工作人员考核和奖惩制度</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档案、证书、印章管理</w:t>
            </w:r>
          </w:p>
        </w:tc>
        <w:tc>
          <w:tcPr>
            <w:tcW w:w="4248"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是否建立档案管理，证书、印章管理制度</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管理创新</w:t>
            </w:r>
          </w:p>
        </w:tc>
        <w:tc>
          <w:tcPr>
            <w:tcW w:w="4248"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是否实行科学化管理手段，以完善和优化服务为目标，创新管理模式和服务模式</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诚信自律建设</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加强自身诚信自律建设，建立本</w:t>
            </w:r>
            <w:r>
              <w:rPr>
                <w:rFonts w:ascii="宋体" w:hAnsi="宋体"/>
                <w:sz w:val="18"/>
                <w:szCs w:val="18"/>
              </w:rPr>
              <w:t>社会团体的</w:t>
            </w:r>
            <w:r>
              <w:rPr>
                <w:rFonts w:hint="eastAsia" w:ascii="宋体" w:hAnsi="宋体"/>
                <w:sz w:val="18"/>
                <w:szCs w:val="18"/>
              </w:rPr>
              <w:t>诚信承诺制度。是否建立活动影响评估机制，对可能引发社会风险的行业内</w:t>
            </w:r>
            <w:r>
              <w:rPr>
                <w:rFonts w:ascii="宋体" w:hAnsi="宋体"/>
                <w:sz w:val="18"/>
                <w:szCs w:val="18"/>
              </w:rPr>
              <w:t>的</w:t>
            </w:r>
            <w:r>
              <w:rPr>
                <w:rFonts w:hint="eastAsia" w:ascii="宋体" w:hAnsi="宋体"/>
                <w:sz w:val="18"/>
                <w:szCs w:val="18"/>
              </w:rPr>
              <w:t>重要事项事先向政府有关部门报告。</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jc w:val="center"/>
        </w:trPr>
        <w:tc>
          <w:tcPr>
            <w:tcW w:w="7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widowControl/>
        <w:jc w:val="left"/>
        <w:rPr>
          <w:rFonts w:ascii="宋体" w:hAnsi="宋体"/>
          <w:bCs/>
          <w:kern w:val="0"/>
          <w:sz w:val="18"/>
          <w:szCs w:val="18"/>
        </w:rPr>
      </w:pPr>
    </w:p>
    <w:p>
      <w:pPr>
        <w:pStyle w:val="157"/>
        <w:numPr>
          <w:ilvl w:val="0"/>
          <w:numId w:val="20"/>
        </w:numPr>
        <w:ind w:firstLineChars="0"/>
        <w:rPr>
          <w:rFonts w:ascii="黑体" w:hAnsi="黑体" w:eastAsia="黑体" w:cs="宋体"/>
          <w:bCs/>
          <w:kern w:val="0"/>
          <w:szCs w:val="21"/>
        </w:rPr>
      </w:pPr>
      <w:r>
        <w:rPr>
          <w:rFonts w:hint="eastAsia" w:ascii="黑体" w:hAnsi="黑体" w:eastAsia="黑体" w:cs="宋体"/>
          <w:bCs/>
          <w:kern w:val="0"/>
          <w:szCs w:val="21"/>
        </w:rPr>
        <w:t>业务活动要求</w:t>
      </w:r>
    </w:p>
    <w:p>
      <w:pPr>
        <w:widowControl/>
        <w:jc w:val="left"/>
        <w:rPr>
          <w:rFonts w:ascii="宋体" w:hAnsi="宋体"/>
          <w:bCs/>
          <w:kern w:val="0"/>
          <w:sz w:val="18"/>
          <w:szCs w:val="18"/>
        </w:rPr>
      </w:pPr>
    </w:p>
    <w:tbl>
      <w:tblPr>
        <w:tblStyle w:val="32"/>
        <w:tblW w:w="8549" w:type="dxa"/>
        <w:tblInd w:w="-34" w:type="dxa"/>
        <w:tblLayout w:type="fixed"/>
        <w:tblCellMar>
          <w:top w:w="0" w:type="dxa"/>
          <w:left w:w="108" w:type="dxa"/>
          <w:bottom w:w="0" w:type="dxa"/>
          <w:right w:w="108" w:type="dxa"/>
        </w:tblCellMar>
      </w:tblPr>
      <w:tblGrid>
        <w:gridCol w:w="851"/>
        <w:gridCol w:w="1418"/>
        <w:gridCol w:w="4252"/>
        <w:gridCol w:w="992"/>
        <w:gridCol w:w="1036"/>
      </w:tblGrid>
      <w:tr>
        <w:tblPrEx>
          <w:tblCellMar>
            <w:top w:w="0" w:type="dxa"/>
            <w:left w:w="108" w:type="dxa"/>
            <w:bottom w:w="0" w:type="dxa"/>
            <w:right w:w="108" w:type="dxa"/>
          </w:tblCellMar>
        </w:tblPrEx>
        <w:trPr>
          <w:trHeight w:val="120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866"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活动规范</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bookmarkStart w:id="132" w:name="RANGE!C49"/>
            <w:r>
              <w:rPr>
                <w:rFonts w:hint="eastAsia" w:ascii="宋体" w:hAnsi="宋体"/>
                <w:kern w:val="0"/>
                <w:sz w:val="18"/>
                <w:szCs w:val="18"/>
              </w:rPr>
              <w:t>是否按照章程规定的宗旨和业务范围进行活动</w:t>
            </w:r>
            <w:bookmarkEnd w:id="132"/>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发展规划</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是否制定和实施中长期战略发展规划（3年及以上）</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05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年度计划完成</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是否根据会员（代表）大会、理事会的决议要求，完成年度业务工作计划，逐年提交年度工作报告</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业务活动管理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bookmarkStart w:id="133" w:name="RANGE!C52"/>
            <w:r>
              <w:rPr>
                <w:rFonts w:hint="eastAsia" w:ascii="宋体" w:hAnsi="宋体"/>
                <w:kern w:val="0"/>
                <w:sz w:val="18"/>
                <w:szCs w:val="18"/>
              </w:rPr>
              <w:t>是否对所开展的</w:t>
            </w:r>
            <w:bookmarkEnd w:id="133"/>
            <w:r>
              <w:rPr>
                <w:rFonts w:hint="eastAsia" w:ascii="宋体" w:hAnsi="宋体"/>
                <w:sz w:val="18"/>
                <w:szCs w:val="18"/>
              </w:rPr>
              <w:t>项目</w:t>
            </w:r>
            <w:r>
              <w:rPr>
                <w:rFonts w:ascii="宋体" w:hAnsi="宋体"/>
                <w:sz w:val="18"/>
                <w:szCs w:val="18"/>
              </w:rPr>
              <w:t>和</w:t>
            </w:r>
            <w:r>
              <w:rPr>
                <w:rFonts w:hint="eastAsia" w:ascii="宋体" w:hAnsi="宋体"/>
                <w:sz w:val="18"/>
                <w:szCs w:val="18"/>
              </w:rPr>
              <w:t>活动进行有序管理，保障可控</w:t>
            </w:r>
            <w:r>
              <w:rPr>
                <w:rFonts w:ascii="宋体" w:hAnsi="宋体"/>
                <w:sz w:val="18"/>
                <w:szCs w:val="18"/>
              </w:rPr>
              <w:t>、规范和高效</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435"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重大业务活动管理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开展重大业务活动时，是否根据有关规定以书面形式报告业务主管部门和登记管理机关审查批准或备案(包含会员代表大会、大型成果展览、学术论坛、国际性论坛等）</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47"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业务宣传推广</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是否积极开展业务宣传推广活动，并有活动记录和总结</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4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政府资助</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是否逐年获得</w:t>
            </w:r>
            <w:r>
              <w:rPr>
                <w:rFonts w:hint="eastAsia" w:ascii="宋体" w:hAnsi="宋体"/>
                <w:sz w:val="18"/>
                <w:szCs w:val="18"/>
              </w:rPr>
              <w:t>政府资助或政府委托</w:t>
            </w:r>
            <w:r>
              <w:rPr>
                <w:rFonts w:ascii="宋体" w:hAnsi="宋体"/>
                <w:sz w:val="18"/>
                <w:szCs w:val="18"/>
              </w:rPr>
              <w:t>项目</w:t>
            </w:r>
            <w:r>
              <w:rPr>
                <w:rFonts w:hint="eastAsia" w:ascii="宋体" w:hAnsi="宋体"/>
                <w:sz w:val="18"/>
                <w:szCs w:val="18"/>
              </w:rPr>
              <w:t>及购买服务项目，项目</w:t>
            </w:r>
            <w:r>
              <w:rPr>
                <w:rFonts w:ascii="宋体" w:hAnsi="宋体"/>
                <w:sz w:val="18"/>
                <w:szCs w:val="18"/>
              </w:rPr>
              <w:t>执行是否良好</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67"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会员服务</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是否建立会员数据库，会员数量是否达到最低数额</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7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是否明确会员资格及其权利、义务，提供</w:t>
            </w:r>
            <w:r>
              <w:rPr>
                <w:rFonts w:ascii="宋体" w:hAnsi="宋体"/>
                <w:kern w:val="0"/>
                <w:sz w:val="18"/>
                <w:szCs w:val="18"/>
              </w:rPr>
              <w:t>并</w:t>
            </w:r>
            <w:r>
              <w:rPr>
                <w:rFonts w:hint="eastAsia" w:ascii="宋体" w:hAnsi="宋体"/>
                <w:kern w:val="0"/>
                <w:sz w:val="18"/>
                <w:szCs w:val="18"/>
              </w:rPr>
              <w:t>强化会员服务</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社会治理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是否为政府提供决策建议，是否为政府决策制定提供有价值的本领域、本行业发展建议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2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是否开展</w:t>
            </w:r>
            <w:r>
              <w:rPr>
                <w:rFonts w:hint="eastAsia" w:ascii="宋体" w:hAnsi="宋体"/>
                <w:sz w:val="18"/>
                <w:szCs w:val="18"/>
              </w:rPr>
              <w:t>本社会服务领域内的协调沟通工作，</w:t>
            </w:r>
            <w:r>
              <w:rPr>
                <w:rFonts w:ascii="宋体" w:hAnsi="宋体"/>
                <w:sz w:val="18"/>
                <w:szCs w:val="18"/>
              </w:rPr>
              <w:t>维护社会秩序、</w:t>
            </w:r>
            <w:r>
              <w:rPr>
                <w:rFonts w:hint="eastAsia" w:ascii="宋体" w:hAnsi="宋体"/>
                <w:sz w:val="18"/>
                <w:szCs w:val="18"/>
              </w:rPr>
              <w:t>创新</w:t>
            </w:r>
            <w:r>
              <w:rPr>
                <w:rFonts w:ascii="宋体" w:hAnsi="宋体"/>
                <w:sz w:val="18"/>
                <w:szCs w:val="18"/>
              </w:rPr>
              <w:t>社会治理、化解社会</w:t>
            </w:r>
            <w:r>
              <w:rPr>
                <w:rFonts w:hint="eastAsia" w:ascii="宋体" w:hAnsi="宋体"/>
                <w:sz w:val="18"/>
                <w:szCs w:val="18"/>
              </w:rPr>
              <w:t>矛盾</w:t>
            </w:r>
            <w:r>
              <w:rPr>
                <w:rFonts w:ascii="宋体" w:hAnsi="宋体"/>
                <w:sz w:val="18"/>
                <w:szCs w:val="18"/>
              </w:rPr>
              <w:t>、促进社会和谐</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8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是否按照相关法规政策和章程要求在</w:t>
            </w:r>
            <w:r>
              <w:rPr>
                <w:rFonts w:ascii="宋体" w:hAnsi="宋体"/>
                <w:kern w:val="0"/>
                <w:sz w:val="18"/>
                <w:szCs w:val="18"/>
              </w:rPr>
              <w:t>会员中</w:t>
            </w:r>
            <w:r>
              <w:rPr>
                <w:rFonts w:hint="eastAsia" w:ascii="宋体" w:hAnsi="宋体"/>
                <w:kern w:val="0"/>
                <w:sz w:val="18"/>
                <w:szCs w:val="18"/>
              </w:rPr>
              <w:t>开展诚信自律建设活动，</w:t>
            </w:r>
            <w:r>
              <w:rPr>
                <w:rFonts w:hint="eastAsia" w:ascii="宋体" w:hAnsi="宋体"/>
                <w:sz w:val="18"/>
                <w:szCs w:val="18"/>
              </w:rPr>
              <w:t>建立会员诚信激励和惩戒机制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38"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常规活动</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是否有</w:t>
            </w:r>
            <w:r>
              <w:rPr>
                <w:rFonts w:hint="eastAsia" w:ascii="宋体" w:hAnsi="宋体"/>
                <w:sz w:val="18"/>
                <w:szCs w:val="18"/>
              </w:rPr>
              <w:t>常规业务活动。常规业务活动是否有合理</w:t>
            </w:r>
            <w:r>
              <w:rPr>
                <w:rFonts w:ascii="宋体" w:hAnsi="宋体"/>
                <w:sz w:val="18"/>
                <w:szCs w:val="18"/>
              </w:rPr>
              <w:t>数量，并具有较大</w:t>
            </w:r>
            <w:r>
              <w:rPr>
                <w:rFonts w:hint="eastAsia" w:ascii="宋体" w:hAnsi="宋体"/>
                <w:sz w:val="18"/>
                <w:szCs w:val="18"/>
              </w:rPr>
              <w:t>的覆盖</w:t>
            </w:r>
            <w:r>
              <w:rPr>
                <w:rFonts w:ascii="宋体" w:hAnsi="宋体"/>
                <w:sz w:val="18"/>
                <w:szCs w:val="18"/>
              </w:rPr>
              <w:t>面和良好</w:t>
            </w:r>
            <w:r>
              <w:rPr>
                <w:rFonts w:hint="eastAsia" w:ascii="宋体" w:hAnsi="宋体"/>
                <w:sz w:val="18"/>
                <w:szCs w:val="18"/>
              </w:rPr>
              <w:t>的社会</w:t>
            </w:r>
            <w:r>
              <w:rPr>
                <w:rFonts w:ascii="宋体" w:hAnsi="宋体"/>
                <w:sz w:val="18"/>
                <w:szCs w:val="18"/>
              </w:rPr>
              <w:t>影响</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68"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业务培训</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是否参加民政系统专业定点的社会组织教育培训活动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7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业务创新</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是否有创新性强、业绩突出、有较大社会影响力的业务活动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02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国际交流</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社团本身或社团组织的会员是否开展国际交流、开拓国内外市场（考察、项目合作、展会等）</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41"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受表彰情况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是否受到（国家级、省级或市级）政府或</w:t>
            </w:r>
            <w:r>
              <w:rPr>
                <w:rFonts w:ascii="宋体" w:hAnsi="宋体"/>
                <w:kern w:val="0"/>
                <w:sz w:val="18"/>
                <w:szCs w:val="18"/>
              </w:rPr>
              <w:t>相关政府</w:t>
            </w:r>
            <w:r>
              <w:rPr>
                <w:rFonts w:hint="eastAsia" w:ascii="宋体" w:hAnsi="宋体"/>
                <w:kern w:val="0"/>
                <w:sz w:val="18"/>
                <w:szCs w:val="18"/>
              </w:rPr>
              <w:t>部门的正式表彰和奖励</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6</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46"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党组织活动情况</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党组织活动是否正常（履行“三会一课”等），是否按照上级党委要求开展党建工作</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868"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bl>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pStyle w:val="157"/>
        <w:numPr>
          <w:ilvl w:val="0"/>
          <w:numId w:val="20"/>
        </w:numPr>
        <w:ind w:firstLineChars="0"/>
        <w:rPr>
          <w:rFonts w:ascii="黑体" w:hAnsi="黑体" w:eastAsia="黑体" w:cs="宋体"/>
          <w:bCs/>
          <w:kern w:val="0"/>
          <w:szCs w:val="21"/>
        </w:rPr>
      </w:pPr>
      <w:r>
        <w:rPr>
          <w:rFonts w:hint="eastAsia" w:ascii="黑体" w:hAnsi="黑体" w:eastAsia="黑体" w:cs="宋体"/>
          <w:bCs/>
          <w:kern w:val="0"/>
          <w:szCs w:val="21"/>
        </w:rPr>
        <w:t>财务管理要求</w:t>
      </w:r>
    </w:p>
    <w:p/>
    <w:tbl>
      <w:tblPr>
        <w:tblStyle w:val="32"/>
        <w:tblW w:w="8549" w:type="dxa"/>
        <w:tblInd w:w="-34" w:type="dxa"/>
        <w:tblLayout w:type="fixed"/>
        <w:tblCellMar>
          <w:top w:w="0" w:type="dxa"/>
          <w:left w:w="108" w:type="dxa"/>
          <w:bottom w:w="0" w:type="dxa"/>
          <w:right w:w="108" w:type="dxa"/>
        </w:tblCellMar>
      </w:tblPr>
      <w:tblGrid>
        <w:gridCol w:w="851"/>
        <w:gridCol w:w="1418"/>
        <w:gridCol w:w="4252"/>
        <w:gridCol w:w="992"/>
        <w:gridCol w:w="1036"/>
      </w:tblGrid>
      <w:tr>
        <w:tblPrEx>
          <w:tblCellMar>
            <w:top w:w="0" w:type="dxa"/>
            <w:left w:w="108" w:type="dxa"/>
            <w:bottom w:w="0" w:type="dxa"/>
            <w:right w:w="108" w:type="dxa"/>
          </w:tblCellMar>
        </w:tblPrEx>
        <w:trPr>
          <w:trHeight w:val="12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rPr>
          <w:trHeight w:val="930" w:hRule="atLeast"/>
        </w:trPr>
        <w:tc>
          <w:tcPr>
            <w:tcW w:w="85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资产来源合法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资产和经费来源应合法，收取费用、筹集资金或者接受捐赠、资助应符合国家有关规定</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896"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资产使用合法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所有经费和合法收入必须用于章程规定的业务活动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839"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服务收费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各项服务收费是否符合国家规定的范围、标准和自身实际需要</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nil"/>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26"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捐赠和资助管理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接受捐赠是否符合章程规定的宗旨和业务范围，是否根据与捐赠人约定的期限、方式和合法用途使用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nil"/>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财务管理制度</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是否依据规定，建立了规范、可操作的财务管理制度，并严格执行</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31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会计核算</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是否执行《民间非营利组织会计制度》,会计核算基础工作是否规范，所附原始凭证、填制记账凭证、登记账簿、编制会计报表是否规范</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年末净资产应不低于设立登记时的净资产</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892"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资产购置和处置是否履行严格的审批程序，资产是否建立登记管理台账</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74"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税务管理</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是否按规定</w:t>
            </w:r>
            <w:r>
              <w:rPr>
                <w:rFonts w:ascii="宋体" w:hAnsi="宋体"/>
                <w:kern w:val="0"/>
                <w:sz w:val="18"/>
                <w:szCs w:val="18"/>
              </w:rPr>
              <w:t>进行</w:t>
            </w:r>
            <w:r>
              <w:rPr>
                <w:rFonts w:hint="eastAsia" w:ascii="宋体" w:hAnsi="宋体"/>
                <w:kern w:val="0"/>
                <w:sz w:val="18"/>
                <w:szCs w:val="18"/>
              </w:rPr>
              <w:t>各种</w:t>
            </w:r>
            <w:r>
              <w:rPr>
                <w:rFonts w:ascii="宋体" w:hAnsi="宋体"/>
                <w:kern w:val="0"/>
                <w:sz w:val="18"/>
                <w:szCs w:val="18"/>
              </w:rPr>
              <w:t>税项的</w:t>
            </w:r>
            <w:r>
              <w:rPr>
                <w:rFonts w:hint="eastAsia" w:ascii="宋体" w:hAnsi="宋体"/>
                <w:kern w:val="0"/>
                <w:sz w:val="18"/>
                <w:szCs w:val="18"/>
              </w:rPr>
              <w:t>申报</w:t>
            </w:r>
            <w:r>
              <w:rPr>
                <w:rFonts w:ascii="宋体" w:hAnsi="宋体"/>
                <w:kern w:val="0"/>
                <w:sz w:val="18"/>
                <w:szCs w:val="18"/>
              </w:rPr>
              <w:t>和缴纳</w:t>
            </w:r>
            <w:r>
              <w:rPr>
                <w:rFonts w:hint="eastAsia" w:ascii="宋体" w:hAnsi="宋体"/>
                <w:kern w:val="0"/>
                <w:sz w:val="18"/>
                <w:szCs w:val="18"/>
              </w:rPr>
              <w:t>；是否</w:t>
            </w:r>
            <w:r>
              <w:rPr>
                <w:rFonts w:ascii="宋体" w:hAnsi="宋体"/>
                <w:kern w:val="0"/>
                <w:sz w:val="18"/>
                <w:szCs w:val="18"/>
              </w:rPr>
              <w:t>按照</w:t>
            </w:r>
            <w:r>
              <w:rPr>
                <w:rFonts w:hint="eastAsia" w:ascii="宋体" w:hAnsi="宋体"/>
                <w:kern w:val="0"/>
                <w:sz w:val="18"/>
                <w:szCs w:val="18"/>
              </w:rPr>
              <w:t>财政部、国家税务总局规定申请减免征税的资格，到税务主管部门申请办理免税资格</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87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个人所得是否依法办理纳税申报</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rPr>
          <w:trHeight w:val="98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票据管理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是否依据规定到票据管理部门申请办理票据领购手续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税务和财政票据是否实行专人管理，是否有领用、使用、核销登记台账</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rPr>
          <w:trHeight w:val="99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对相关业务是否使用正规的税务、财政票据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2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财务监督</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是否进行责任审计，在换届和更换法定代表人之前，是否委托会计师事务所进行换届离任财务审计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rPr>
          <w:trHeight w:val="1056"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被</w:t>
            </w:r>
            <w:r>
              <w:rPr>
                <w:rFonts w:ascii="宋体" w:hAnsi="宋体"/>
                <w:kern w:val="0"/>
                <w:sz w:val="18"/>
                <w:szCs w:val="18"/>
              </w:rPr>
              <w:t>认定为慈善组织的社团是否每年公开年度工作报告和财务会计报告；</w:t>
            </w:r>
            <w:r>
              <w:rPr>
                <w:rFonts w:hint="eastAsia" w:ascii="宋体" w:hAnsi="宋体"/>
                <w:kern w:val="0"/>
                <w:sz w:val="18"/>
                <w:szCs w:val="18"/>
              </w:rPr>
              <w:t>具有公开募捐资格的被认定为慈善组织的社会团体的财务会计报告是否经过审计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rPr>
          <w:trHeight w:val="136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财务人员</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财会人员是否按规定实行会计、出纳分设，持从业资格证上岗，并有严格的岗位职责，做到分工明确；未设置专门财会人员的，是否委托有资质的代理记账中介机构进行代理记账工作，并经理事会会议审议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12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会计档案管理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是否建立规范的档案管理制度，会计人员调动时，是否办理对财务资料交接手续，会计档案管理工作是否加强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rPr>
          <w:trHeight w:val="98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收入资产状况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年度总收入是否稳定或持续增长，年末净资产是否保持稳定或持续增长</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84"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83" w:hRule="atLeast"/>
        </w:trPr>
        <w:tc>
          <w:tcPr>
            <w:tcW w:w="8549" w:type="dxa"/>
            <w:gridSpan w:val="5"/>
            <w:tcBorders>
              <w:top w:val="nil"/>
              <w:left w:val="nil"/>
              <w:bottom w:val="nil"/>
              <w:right w:val="nil"/>
            </w:tcBorders>
            <w:shd w:val="clear" w:color="auto" w:fill="auto"/>
            <w:vAlign w:val="center"/>
          </w:tcPr>
          <w:p>
            <w:pPr>
              <w:widowControl/>
              <w:jc w:val="left"/>
              <w:rPr>
                <w:rFonts w:ascii="黑体" w:hAnsi="黑体" w:eastAsia="黑体"/>
                <w:bCs/>
                <w:kern w:val="0"/>
                <w:szCs w:val="21"/>
              </w:rPr>
            </w:pPr>
            <w:bookmarkStart w:id="134" w:name="RANGE!A93:G109"/>
          </w:p>
          <w:p>
            <w:pPr>
              <w:pStyle w:val="157"/>
              <w:numPr>
                <w:ilvl w:val="0"/>
                <w:numId w:val="20"/>
              </w:numPr>
              <w:ind w:firstLineChars="0"/>
              <w:rPr>
                <w:rFonts w:ascii="宋体" w:hAnsi="宋体" w:cs="宋体"/>
                <w:bCs/>
                <w:kern w:val="0"/>
                <w:sz w:val="18"/>
                <w:szCs w:val="18"/>
              </w:rPr>
            </w:pPr>
            <w:r>
              <w:rPr>
                <w:rFonts w:hint="eastAsia" w:ascii="黑体" w:hAnsi="黑体" w:eastAsia="黑体" w:cs="宋体"/>
                <w:bCs/>
                <w:kern w:val="0"/>
                <w:szCs w:val="21"/>
              </w:rPr>
              <w:t>信息公开要求</w:t>
            </w:r>
            <w:bookmarkEnd w:id="134"/>
          </w:p>
          <w:p>
            <w:pPr>
              <w:pStyle w:val="157"/>
              <w:ind w:left="360" w:firstLine="0" w:firstLineChars="0"/>
              <w:rPr>
                <w:rFonts w:ascii="宋体" w:hAnsi="宋体" w:cs="宋体"/>
                <w:bCs/>
                <w:kern w:val="0"/>
                <w:sz w:val="18"/>
                <w:szCs w:val="18"/>
              </w:rPr>
            </w:pPr>
          </w:p>
        </w:tc>
      </w:tr>
      <w:tr>
        <w:tblPrEx>
          <w:tblCellMar>
            <w:top w:w="0" w:type="dxa"/>
            <w:left w:w="108" w:type="dxa"/>
            <w:bottom w:w="0" w:type="dxa"/>
            <w:right w:w="108" w:type="dxa"/>
          </w:tblCellMar>
        </w:tblPrEx>
        <w:trPr>
          <w:trHeight w:val="120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1548"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是否建立健全信息公开管理制度，对公开信息的真实性、完整性、及时性负责。公开信息是否便于公众获取，是否有虚假记载、误导性陈述或者重大遗漏</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是否指定专人负责处理信息公开的有关事务，及时公开信息，频次符合管理要求</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rPr>
          <w:trHeight w:val="84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是否妥善保管信息公开档案</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85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信息公开内容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网站和新媒体等信息渠道及时公开相关资料，内容丰富完整，体现组织特点和业务范围（内容包括：登记事项；章程；组织机构信息；负责人、理事和监事名单；决策、执行、监督机构成员信息；许可事项；是否认定为慈善组织；是否享有税收优惠、资助补贴等优惠措施；政府购买服务情况；接收检查、抽查、评估的结果；接受表彰、处罚情况；服务内容和收费标准；接受捐赠和使用情况；设立分支机构情况）</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62"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方便信息查阅</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信息内容是否全面公布并方便查阅，保证会员和社会公众能够方便快捷地查阅、询问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公众质疑回应</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是否及时回复公众质疑</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办公场所信息公开</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是否在办公场所</w:t>
            </w:r>
            <w:r>
              <w:rPr>
                <w:rFonts w:ascii="宋体" w:hAnsi="宋体"/>
                <w:kern w:val="0"/>
                <w:sz w:val="18"/>
                <w:szCs w:val="18"/>
              </w:rPr>
              <w:t>和</w:t>
            </w:r>
            <w:r>
              <w:rPr>
                <w:rFonts w:hint="eastAsia" w:ascii="宋体" w:hAnsi="宋体"/>
                <w:kern w:val="0"/>
                <w:sz w:val="18"/>
                <w:szCs w:val="18"/>
              </w:rPr>
              <w:t>服务场所公开机构信息及服务信息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内部信息公开</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是否及时向会员代表大会、理事会、监事会公布规章制度、业务活动等相关信息</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90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年报情况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规定向业务主管单位和登记管理机关编制并报送年报材料，年报内容是否真实（年报内容包括：遵守法律、法规、规章和国家政策的情况；履行登记手续情况；按照章程开展活动的情况；人员和机构变动的情况以及财务管理的情况等）</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年度工作报告向社会公开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xml:space="preserve">编制并报送年报资料时是否按照要求真实准确填写《党建情况表》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财务报告</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是否按章程规定向会员（代表）大会报告年度财务状况和重大经济活动情况</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86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渠道多元化</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信息公开渠道是否多样、丰富</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7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不得公开事项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是否公开了涉及国家秘密、商业秘密、个人隐私的信息，以及捐赠人不同意公开的姓名、名称、住所、通讯方式等信息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443"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p>
            <w:pPr>
              <w:widowControl/>
              <w:jc w:val="left"/>
              <w:rPr>
                <w:rFonts w:ascii="宋体" w:hAnsi="宋体"/>
                <w:kern w:val="0"/>
                <w:sz w:val="18"/>
                <w:szCs w:val="18"/>
              </w:rPr>
            </w:pPr>
          </w:p>
          <w:p>
            <w:pPr>
              <w:widowControl/>
              <w:jc w:val="left"/>
              <w:rPr>
                <w:rFonts w:ascii="宋体" w:hAnsi="宋体"/>
                <w:kern w:val="0"/>
                <w:sz w:val="18"/>
                <w:szCs w:val="18"/>
              </w:rPr>
            </w:pPr>
            <w:r>
              <w:rPr>
                <w:rFonts w:hint="eastAsia" w:ascii="宋体" w:hAnsi="宋体"/>
                <w:kern w:val="0"/>
                <w:sz w:val="18"/>
                <w:szCs w:val="18"/>
              </w:rPr>
              <w:t>　</w:t>
            </w:r>
          </w:p>
        </w:tc>
      </w:tr>
      <w:tr>
        <w:trPr>
          <w:trHeight w:val="647" w:hRule="atLeast"/>
        </w:trPr>
        <w:tc>
          <w:tcPr>
            <w:tcW w:w="85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kern w:val="0"/>
                <w:sz w:val="18"/>
                <w:szCs w:val="18"/>
              </w:rPr>
              <w:t>备注：社会团体被民政部门登记或者认定为慈善组织的，应比照基金会信息公开相关指标评分</w:t>
            </w:r>
          </w:p>
        </w:tc>
      </w:tr>
    </w:tbl>
    <w:p>
      <w:pPr>
        <w:keepNext/>
        <w:widowControl/>
        <w:shd w:val="clear" w:color="auto" w:fill="FFFFFF"/>
        <w:outlineLvl w:val="0"/>
        <w:rPr>
          <w:rFonts w:ascii="黑体" w:hAnsi="黑体" w:eastAsia="黑体"/>
          <w:bCs/>
          <w:kern w:val="0"/>
          <w:szCs w:val="21"/>
        </w:rPr>
      </w:pPr>
      <w:bookmarkStart w:id="135" w:name="_Toc478734661"/>
      <w:bookmarkStart w:id="136" w:name="_Toc478717721"/>
      <w:r>
        <w:rPr>
          <w:rFonts w:hint="eastAsia" w:ascii="黑体" w:hAnsi="黑体" w:eastAsia="黑体"/>
          <w:bCs/>
          <w:kern w:val="0"/>
          <w:szCs w:val="21"/>
        </w:rPr>
        <w:t>被</w:t>
      </w:r>
      <w:r>
        <w:rPr>
          <w:rFonts w:ascii="黑体" w:hAnsi="黑体" w:eastAsia="黑体"/>
          <w:bCs/>
          <w:kern w:val="0"/>
          <w:szCs w:val="21"/>
        </w:rPr>
        <w:t>考评社会组织签名：</w:t>
      </w:r>
      <w:r>
        <w:rPr>
          <w:rFonts w:hint="eastAsia" w:ascii="黑体" w:hAnsi="黑体" w:eastAsia="黑体"/>
          <w:bCs/>
          <w:kern w:val="0"/>
          <w:szCs w:val="21"/>
        </w:rPr>
        <w:t xml:space="preserve">                                                  日期</w:t>
      </w:r>
      <w:r>
        <w:rPr>
          <w:rFonts w:ascii="黑体" w:hAnsi="黑体" w:eastAsia="黑体"/>
          <w:bCs/>
          <w:kern w:val="0"/>
          <w:szCs w:val="21"/>
        </w:rPr>
        <w:t>：</w:t>
      </w:r>
      <w:bookmarkEnd w:id="135"/>
      <w:bookmarkEnd w:id="136"/>
    </w:p>
    <w:p>
      <w:pPr>
        <w:keepNext/>
        <w:widowControl/>
        <w:shd w:val="clear" w:color="auto" w:fill="FFFFFF"/>
        <w:ind w:left="720"/>
        <w:jc w:val="center"/>
        <w:outlineLvl w:val="0"/>
        <w:rPr>
          <w:rFonts w:ascii="黑体" w:eastAsia="黑体"/>
          <w:kern w:val="0"/>
          <w:szCs w:val="21"/>
        </w:rPr>
      </w:pPr>
    </w:p>
    <w:p>
      <w:pPr>
        <w:widowControl/>
        <w:jc w:val="left"/>
        <w:rPr>
          <w:rFonts w:ascii="黑体" w:eastAsia="黑体"/>
          <w:kern w:val="0"/>
          <w:szCs w:val="21"/>
        </w:rPr>
      </w:pPr>
      <w:r>
        <w:rPr>
          <w:rFonts w:ascii="黑体" w:eastAsia="黑体"/>
          <w:kern w:val="0"/>
          <w:szCs w:val="21"/>
        </w:rPr>
        <w:br w:type="page"/>
      </w:r>
    </w:p>
    <w:p>
      <w:pPr>
        <w:keepNext/>
        <w:widowControl/>
        <w:shd w:val="clear" w:color="auto" w:fill="FFFFFF"/>
        <w:ind w:left="720"/>
        <w:jc w:val="center"/>
        <w:outlineLvl w:val="0"/>
        <w:rPr>
          <w:rFonts w:ascii="黑体" w:eastAsia="黑体"/>
          <w:kern w:val="0"/>
          <w:szCs w:val="21"/>
        </w:rPr>
      </w:pPr>
      <w:bookmarkStart w:id="137" w:name="_Toc478734662"/>
      <w:r>
        <w:rPr>
          <w:rFonts w:hint="eastAsia" w:ascii="黑体" w:eastAsia="黑体"/>
          <w:kern w:val="0"/>
          <w:szCs w:val="21"/>
        </w:rPr>
        <w:t>附录B</w:t>
      </w:r>
      <w:bookmarkEnd w:id="137"/>
    </w:p>
    <w:p>
      <w:pPr>
        <w:keepNext/>
        <w:widowControl/>
        <w:shd w:val="clear" w:color="auto" w:fill="FFFFFF"/>
        <w:ind w:left="720"/>
        <w:jc w:val="center"/>
        <w:outlineLvl w:val="0"/>
        <w:rPr>
          <w:rFonts w:ascii="黑体" w:eastAsia="黑体"/>
          <w:kern w:val="0"/>
          <w:szCs w:val="21"/>
        </w:rPr>
      </w:pPr>
      <w:bookmarkStart w:id="138" w:name="_Toc24952"/>
      <w:bookmarkStart w:id="139" w:name="_Toc468808803"/>
      <w:bookmarkStart w:id="140" w:name="_Toc471298052"/>
      <w:bookmarkStart w:id="141" w:name="_Toc478717723"/>
      <w:bookmarkStart w:id="142" w:name="_Toc470566318"/>
      <w:bookmarkStart w:id="143" w:name="_Toc478734663"/>
      <w:r>
        <w:rPr>
          <w:rFonts w:hint="eastAsia" w:ascii="黑体" w:eastAsia="黑体"/>
          <w:kern w:val="0"/>
          <w:szCs w:val="21"/>
        </w:rPr>
        <w:t>（规范附录）</w:t>
      </w:r>
      <w:bookmarkEnd w:id="138"/>
      <w:bookmarkEnd w:id="139"/>
      <w:bookmarkEnd w:id="140"/>
      <w:bookmarkEnd w:id="141"/>
      <w:bookmarkEnd w:id="142"/>
      <w:bookmarkEnd w:id="143"/>
    </w:p>
    <w:p>
      <w:pPr>
        <w:keepNext/>
        <w:widowControl/>
        <w:shd w:val="clear" w:color="auto" w:fill="FFFFFF"/>
        <w:ind w:left="720"/>
        <w:jc w:val="center"/>
        <w:outlineLvl w:val="0"/>
        <w:rPr>
          <w:rFonts w:ascii="黑体" w:eastAsia="黑体"/>
          <w:b/>
          <w:kern w:val="0"/>
          <w:szCs w:val="21"/>
        </w:rPr>
      </w:pPr>
      <w:bookmarkStart w:id="144" w:name="_Toc478734664"/>
      <w:r>
        <w:rPr>
          <w:rFonts w:hint="eastAsia" w:ascii="黑体" w:eastAsia="黑体"/>
          <w:b/>
          <w:kern w:val="0"/>
          <w:szCs w:val="21"/>
        </w:rPr>
        <w:t>社会服务机构评估指标评分表</w:t>
      </w:r>
      <w:bookmarkEnd w:id="144"/>
    </w:p>
    <w:p>
      <w:pPr>
        <w:keepNext/>
        <w:widowControl/>
        <w:shd w:val="clear" w:color="auto" w:fill="FFFFFF"/>
        <w:ind w:left="720"/>
        <w:jc w:val="center"/>
        <w:outlineLvl w:val="0"/>
        <w:rPr>
          <w:rFonts w:ascii="黑体" w:eastAsia="黑体"/>
          <w:b/>
          <w:kern w:val="0"/>
          <w:szCs w:val="21"/>
        </w:rPr>
      </w:pPr>
    </w:p>
    <w:p>
      <w:pPr>
        <w:keepNext/>
        <w:widowControl/>
        <w:shd w:val="clear" w:color="auto" w:fill="FFFFFF"/>
        <w:outlineLvl w:val="0"/>
        <w:rPr>
          <w:rFonts w:ascii="黑体" w:hAnsi="黑体" w:eastAsia="黑体"/>
          <w:bCs/>
          <w:kern w:val="0"/>
          <w:szCs w:val="21"/>
        </w:rPr>
      </w:pPr>
      <w:bookmarkStart w:id="145" w:name="_Toc478717725"/>
      <w:bookmarkStart w:id="146" w:name="_Toc478734665"/>
      <w:r>
        <w:rPr>
          <w:rFonts w:hint="eastAsia" w:ascii="黑体" w:hAnsi="黑体" w:eastAsia="黑体"/>
          <w:bCs/>
          <w:kern w:val="0"/>
          <w:szCs w:val="21"/>
        </w:rPr>
        <w:t>考</w:t>
      </w:r>
      <w:r>
        <w:rPr>
          <w:rFonts w:ascii="黑体" w:hAnsi="黑体" w:eastAsia="黑体"/>
          <w:bCs/>
          <w:kern w:val="0"/>
          <w:szCs w:val="21"/>
        </w:rPr>
        <w:t>评员姓名：</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被考评</w:t>
      </w:r>
      <w:r>
        <w:rPr>
          <w:rFonts w:ascii="黑体" w:hAnsi="黑体" w:eastAsia="黑体"/>
          <w:bCs/>
          <w:kern w:val="0"/>
          <w:szCs w:val="21"/>
        </w:rPr>
        <w:t>社会组织名称：</w:t>
      </w:r>
      <w:bookmarkEnd w:id="145"/>
      <w:bookmarkEnd w:id="146"/>
    </w:p>
    <w:p>
      <w:pPr>
        <w:keepNext/>
        <w:widowControl/>
        <w:shd w:val="clear" w:color="auto" w:fill="FFFFFF"/>
        <w:outlineLvl w:val="0"/>
        <w:rPr>
          <w:rFonts w:ascii="黑体" w:hAnsi="黑体" w:eastAsia="黑体"/>
          <w:bCs/>
          <w:kern w:val="0"/>
          <w:szCs w:val="21"/>
        </w:rPr>
      </w:pPr>
    </w:p>
    <w:p>
      <w:pPr>
        <w:keepNext/>
        <w:widowControl/>
        <w:shd w:val="clear" w:color="auto" w:fill="FFFFFF"/>
        <w:outlineLvl w:val="0"/>
        <w:rPr>
          <w:rFonts w:ascii="黑体" w:eastAsia="黑体"/>
          <w:b/>
          <w:kern w:val="0"/>
          <w:szCs w:val="21"/>
        </w:rPr>
      </w:pPr>
    </w:p>
    <w:p>
      <w:pPr>
        <w:pStyle w:val="157"/>
        <w:widowControl/>
        <w:numPr>
          <w:ilvl w:val="0"/>
          <w:numId w:val="21"/>
        </w:numPr>
        <w:ind w:firstLineChars="0"/>
        <w:jc w:val="left"/>
        <w:rPr>
          <w:rFonts w:ascii="黑体" w:hAnsi="黑体" w:eastAsia="黑体" w:cs="宋体"/>
          <w:bCs/>
          <w:kern w:val="0"/>
          <w:szCs w:val="21"/>
        </w:rPr>
      </w:pPr>
      <w:r>
        <w:rPr>
          <w:rFonts w:hint="eastAsia" w:ascii="黑体" w:hAnsi="黑体" w:eastAsia="黑体" w:cs="宋体"/>
          <w:bCs/>
          <w:kern w:val="0"/>
          <w:szCs w:val="21"/>
        </w:rPr>
        <w:t>依法登记和接受监管要求</w:t>
      </w:r>
    </w:p>
    <w:p/>
    <w:tbl>
      <w:tblPr>
        <w:tblStyle w:val="32"/>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登记情况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是否依法登记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纳税情况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登记后是否依法办理税务登记和纳税</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办公条件</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是否有固定的住所，且满足办公需要</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是否具备相应的办公设备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办公场所是否悬挂单位名称牌匾</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履行章程情况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是否按照报登记管理机关核准的章程开展工作</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合规管理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是否有违法行为记录</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变更登记</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登记事项发生变更时，是否在30日内向登记管理机关申请变更登记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异常活动名录</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是否在登记管理机关的异常活动名录中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负责人管理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社会服务机构的负责人是否在任职前公示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08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sz w:val="18"/>
                <w:szCs w:val="18"/>
              </w:rPr>
              <w:t>社会服务机构的法定代表人及负责人不得有以下情形</w:t>
            </w:r>
            <w:r>
              <w:rPr>
                <w:rFonts w:hint="eastAsia" w:ascii="宋体" w:hAnsi="宋体"/>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负责人是否参与登记管理机关组织的培训活动</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widowControl/>
        <w:ind w:left="360" w:firstLine="0" w:firstLineChars="0"/>
        <w:jc w:val="left"/>
        <w:rPr>
          <w:rFonts w:ascii="黑体" w:hAnsi="黑体" w:eastAsia="黑体"/>
        </w:rPr>
      </w:pPr>
    </w:p>
    <w:p>
      <w:pPr>
        <w:pStyle w:val="157"/>
        <w:widowControl/>
        <w:numPr>
          <w:ilvl w:val="0"/>
          <w:numId w:val="21"/>
        </w:numPr>
        <w:ind w:firstLineChars="0"/>
        <w:jc w:val="left"/>
        <w:rPr>
          <w:rFonts w:ascii="黑体" w:hAnsi="黑体" w:eastAsia="黑体"/>
        </w:rPr>
      </w:pPr>
      <w:r>
        <w:rPr>
          <w:rFonts w:hint="eastAsia" w:ascii="黑体" w:hAnsi="黑体" w:eastAsia="黑体" w:cs="宋体"/>
          <w:bCs/>
          <w:kern w:val="0"/>
          <w:szCs w:val="21"/>
        </w:rPr>
        <w:t>内部</w:t>
      </w:r>
      <w:r>
        <w:rPr>
          <w:rFonts w:hint="eastAsia" w:ascii="黑体" w:hAnsi="黑体" w:eastAsia="黑体"/>
        </w:rPr>
        <w:t>治理要求</w:t>
      </w:r>
    </w:p>
    <w:p>
      <w:pPr>
        <w:pStyle w:val="157"/>
        <w:widowControl/>
        <w:ind w:left="360" w:firstLine="0" w:firstLineChars="0"/>
        <w:jc w:val="left"/>
        <w:rPr>
          <w:rFonts w:ascii="黑体" w:hAnsi="黑体" w:eastAsia="黑体"/>
        </w:rPr>
      </w:pPr>
    </w:p>
    <w:tbl>
      <w:tblPr>
        <w:tblStyle w:val="32"/>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540" w:hRule="atLeast"/>
        </w:trPr>
        <w:tc>
          <w:tcPr>
            <w:tcW w:w="851" w:type="dxa"/>
            <w:vMerge w:val="restart"/>
            <w:tcBorders>
              <w:top w:val="nil"/>
              <w:left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p>
            <w:pPr>
              <w:jc w:val="center"/>
              <w:rPr>
                <w:rFonts w:ascii="宋体" w:hAnsi="宋体"/>
                <w:bCs/>
                <w:kern w:val="0"/>
                <w:sz w:val="18"/>
                <w:szCs w:val="18"/>
              </w:rPr>
            </w:pPr>
            <w:r>
              <w:rPr>
                <w:rFonts w:hint="eastAsia" w:ascii="宋体" w:hAnsi="宋体"/>
                <w:kern w:val="0"/>
                <w:sz w:val="18"/>
                <w:szCs w:val="18"/>
              </w:rPr>
              <w:t>　</w:t>
            </w:r>
          </w:p>
        </w:tc>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法人治理结构</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是否依照法规规章规范性</w:t>
            </w:r>
            <w:r>
              <w:rPr>
                <w:rFonts w:ascii="宋体" w:hAnsi="宋体"/>
                <w:kern w:val="0"/>
                <w:sz w:val="18"/>
                <w:szCs w:val="18"/>
              </w:rPr>
              <w:t>文件</w:t>
            </w:r>
            <w:r>
              <w:rPr>
                <w:rFonts w:hint="eastAsia" w:ascii="宋体" w:hAnsi="宋体"/>
                <w:kern w:val="0"/>
                <w:sz w:val="18"/>
                <w:szCs w:val="18"/>
              </w:rPr>
              <w:t>政策和章程建立健全法人治理结构和运行机制</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法定代表人</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法定代表人和负责人的产生、罢免是否符合法规规章规范性</w:t>
            </w:r>
            <w:r>
              <w:rPr>
                <w:rFonts w:ascii="宋体" w:hAnsi="宋体"/>
                <w:kern w:val="0"/>
                <w:sz w:val="18"/>
                <w:szCs w:val="18"/>
              </w:rPr>
              <w:t>文件</w:t>
            </w:r>
            <w:r>
              <w:rPr>
                <w:rFonts w:hint="eastAsia" w:ascii="宋体" w:hAnsi="宋体"/>
                <w:kern w:val="0"/>
                <w:sz w:val="18"/>
                <w:szCs w:val="18"/>
              </w:rPr>
              <w:t>和章程的规定</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理事会运作规范</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是否按章程规定设立理事会，并召开理事会会议，理事会发挥作用良好</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监事、监事会履行职责</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xml:space="preserve">是否按章程设立监事或监事会，监事、监事会履行职责并发挥作用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内部监督机制</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建立健全内部监督机制，落实民主选举、民主决策和民主管理</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章程制定及修改</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章程制定及修改是否符合相关规定和登记管理机关的要求</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机构运行</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sz w:val="18"/>
                <w:szCs w:val="18"/>
              </w:rPr>
              <w:t>机构设置</w:t>
            </w:r>
            <w:r>
              <w:rPr>
                <w:rFonts w:hint="eastAsia" w:ascii="宋体" w:hAnsi="宋体"/>
                <w:kern w:val="0"/>
                <w:sz w:val="18"/>
                <w:szCs w:val="18"/>
              </w:rPr>
              <w:t>是否健全合理，符合业务需要，职责明确，有效履行职责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08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党建工作</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sz w:val="18"/>
                <w:szCs w:val="18"/>
              </w:rPr>
              <w:t>党组织是否参与社会</w:t>
            </w:r>
            <w:r>
              <w:rPr>
                <w:rFonts w:ascii="宋体" w:hAnsi="宋体"/>
                <w:sz w:val="18"/>
                <w:szCs w:val="18"/>
              </w:rPr>
              <w:t>服务机构</w:t>
            </w:r>
            <w:r>
              <w:rPr>
                <w:rFonts w:hint="eastAsia" w:ascii="宋体" w:hAnsi="宋体"/>
                <w:sz w:val="18"/>
                <w:szCs w:val="18"/>
              </w:rPr>
              <w:t>重大问题的决策</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从业人员</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是否有与业务活动相适应的从业人员</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人力资源管理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是否制定并执行负责人聘用管理制度，负责人具有管理协调能力</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是否制定并执行工作人员聘用、任职和薪酬制度制度</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是否制定并执行工作人员绩效考核和奖惩制度</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档案、证书、印章管理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是否建立并执行档案、证书、印章管理制度</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管理创新</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是否实行科学化管理手段，以完善和优化服务为目标，创新管理模式和服务模式</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诚信自律建设</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加强自身诚信自律建设，建立本社会服务</w:t>
            </w:r>
            <w:r>
              <w:rPr>
                <w:rFonts w:ascii="宋体" w:hAnsi="宋体"/>
                <w:sz w:val="18"/>
                <w:szCs w:val="18"/>
              </w:rPr>
              <w:t>机构的</w:t>
            </w:r>
            <w:r>
              <w:rPr>
                <w:rFonts w:hint="eastAsia" w:ascii="宋体" w:hAnsi="宋体"/>
                <w:sz w:val="18"/>
                <w:szCs w:val="18"/>
              </w:rPr>
              <w:t>诚信承诺制度。是否建立活动影响评估机制，对可能引发社会风险的服务领域内</w:t>
            </w:r>
            <w:r>
              <w:rPr>
                <w:rFonts w:ascii="宋体" w:hAnsi="宋体"/>
                <w:sz w:val="18"/>
                <w:szCs w:val="18"/>
              </w:rPr>
              <w:t>的</w:t>
            </w:r>
            <w:r>
              <w:rPr>
                <w:rFonts w:hint="eastAsia" w:ascii="宋体" w:hAnsi="宋体"/>
                <w:sz w:val="18"/>
                <w:szCs w:val="18"/>
              </w:rPr>
              <w:t>重要事项事先向政府有关部门报告</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ind w:left="360" w:firstLine="0" w:firstLineChars="0"/>
        <w:rPr>
          <w:rFonts w:ascii="黑体" w:hAnsi="黑体" w:eastAsia="黑体" w:cs="宋体"/>
          <w:bCs/>
          <w:kern w:val="0"/>
          <w:szCs w:val="21"/>
        </w:rPr>
      </w:pPr>
    </w:p>
    <w:p>
      <w:pPr>
        <w:pStyle w:val="157"/>
        <w:widowControl/>
        <w:numPr>
          <w:ilvl w:val="0"/>
          <w:numId w:val="21"/>
        </w:numPr>
        <w:ind w:firstLineChars="0"/>
        <w:jc w:val="left"/>
        <w:rPr>
          <w:rFonts w:ascii="黑体" w:hAnsi="黑体" w:eastAsia="黑体" w:cs="宋体"/>
          <w:bCs/>
          <w:kern w:val="0"/>
          <w:szCs w:val="21"/>
        </w:rPr>
      </w:pPr>
      <w:r>
        <w:rPr>
          <w:rFonts w:hint="eastAsia" w:ascii="黑体" w:hAnsi="黑体" w:eastAsia="黑体" w:cs="宋体"/>
          <w:bCs/>
          <w:kern w:val="0"/>
          <w:szCs w:val="21"/>
        </w:rPr>
        <w:t>业务活动要求</w:t>
      </w:r>
    </w:p>
    <w:p>
      <w:pPr>
        <w:pStyle w:val="157"/>
        <w:ind w:left="360" w:firstLine="0" w:firstLineChars="0"/>
      </w:pPr>
    </w:p>
    <w:tbl>
      <w:tblPr>
        <w:tblStyle w:val="32"/>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xml:space="preserve">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活动规范</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是否按照章程规定的宗旨并根据业务范围开展活动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发展规划</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是否制定和实施中长期发展规划（3年及以上）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年度计划完成</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是否根据理事会的决议要求，完成年度业务工作计划，逐年提交年度工作报告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业务活动管理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是否对所开展</w:t>
            </w:r>
            <w:r>
              <w:rPr>
                <w:rFonts w:hint="eastAsia" w:ascii="宋体" w:hAnsi="宋体"/>
                <w:sz w:val="18"/>
                <w:szCs w:val="18"/>
              </w:rPr>
              <w:t>的项目和活动进行有序管理，保障可控、规范和高效</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政府资助</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是否逐年获得</w:t>
            </w:r>
            <w:r>
              <w:rPr>
                <w:rFonts w:hint="eastAsia" w:ascii="宋体" w:hAnsi="宋体"/>
                <w:sz w:val="18"/>
                <w:szCs w:val="18"/>
              </w:rPr>
              <w:t>政府资助或政府委托项目及购买服务项目，项目</w:t>
            </w:r>
            <w:r>
              <w:rPr>
                <w:rFonts w:ascii="宋体" w:hAnsi="宋体"/>
                <w:sz w:val="18"/>
                <w:szCs w:val="18"/>
              </w:rPr>
              <w:t>执行良好</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项目影响力</w:t>
            </w:r>
          </w:p>
        </w:tc>
        <w:tc>
          <w:tcPr>
            <w:tcW w:w="4252" w:type="dxa"/>
            <w:tcBorders>
              <w:top w:val="single" w:color="auto" w:sz="4" w:space="0"/>
              <w:left w:val="nil"/>
              <w:bottom w:val="single" w:color="auto" w:sz="4" w:space="0"/>
              <w:right w:val="nil"/>
            </w:tcBorders>
            <w:shd w:val="clear" w:color="auto" w:fill="auto"/>
            <w:vAlign w:val="center"/>
          </w:tcPr>
          <w:p>
            <w:pPr>
              <w:pStyle w:val="46"/>
              <w:spacing w:before="156" w:after="156"/>
              <w:rPr>
                <w:rFonts w:ascii="宋体" w:hAnsi="宋体" w:eastAsia="宋体"/>
                <w:sz w:val="18"/>
                <w:szCs w:val="18"/>
              </w:rPr>
            </w:pPr>
            <w:r>
              <w:rPr>
                <w:rFonts w:hint="eastAsia" w:ascii="宋体" w:hAnsi="宋体" w:eastAsia="宋体" w:cs="宋体"/>
                <w:sz w:val="18"/>
                <w:szCs w:val="18"/>
              </w:rPr>
              <w:t>是否有</w:t>
            </w:r>
            <w:r>
              <w:rPr>
                <w:rFonts w:ascii="宋体" w:hAnsi="宋体" w:eastAsia="宋体"/>
                <w:sz w:val="18"/>
                <w:szCs w:val="18"/>
              </w:rPr>
              <w:t>常规服务项目</w:t>
            </w:r>
            <w:r>
              <w:rPr>
                <w:rFonts w:hint="eastAsia" w:ascii="宋体" w:hAnsi="宋体" w:eastAsia="宋体"/>
                <w:sz w:val="18"/>
                <w:szCs w:val="18"/>
              </w:rPr>
              <w:t>。常规服务</w:t>
            </w:r>
            <w:r>
              <w:rPr>
                <w:rFonts w:ascii="宋体" w:hAnsi="宋体" w:eastAsia="宋体"/>
                <w:sz w:val="18"/>
                <w:szCs w:val="18"/>
              </w:rPr>
              <w:t>项目</w:t>
            </w:r>
            <w:r>
              <w:rPr>
                <w:rFonts w:hint="eastAsia" w:ascii="宋体" w:hAnsi="宋体" w:eastAsia="宋体"/>
                <w:sz w:val="18"/>
                <w:szCs w:val="18"/>
              </w:rPr>
              <w:t>是否有</w:t>
            </w:r>
            <w:r>
              <w:rPr>
                <w:rFonts w:ascii="宋体" w:hAnsi="宋体" w:eastAsia="宋体"/>
                <w:sz w:val="18"/>
                <w:szCs w:val="18"/>
              </w:rPr>
              <w:t>合理数量</w:t>
            </w:r>
            <w:r>
              <w:rPr>
                <w:rFonts w:hint="eastAsia" w:ascii="宋体" w:hAnsi="宋体" w:eastAsia="宋体"/>
                <w:sz w:val="18"/>
                <w:szCs w:val="18"/>
              </w:rPr>
              <w:t>，</w:t>
            </w:r>
            <w:r>
              <w:rPr>
                <w:rFonts w:ascii="宋体" w:hAnsi="宋体" w:eastAsia="宋体"/>
                <w:sz w:val="18"/>
                <w:szCs w:val="18"/>
              </w:rPr>
              <w:t>并</w:t>
            </w:r>
            <w:r>
              <w:rPr>
                <w:rFonts w:hint="eastAsia" w:ascii="宋体" w:hAnsi="宋体" w:eastAsia="宋体"/>
                <w:sz w:val="18"/>
                <w:szCs w:val="18"/>
              </w:rPr>
              <w:t>具有较大的覆盖面和良好的社会影响。</w:t>
            </w:r>
          </w:p>
          <w:p>
            <w:pPr>
              <w:widowControl/>
              <w:jc w:val="left"/>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业务宣传推广</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是否积极开展业务宣传推广活动，并有活动记录和总结</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公共参与</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是否逐年参与公共政策，在社会治理和社会建设过程中为政府咨询、决策提供意见或者建议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业务培训</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是否参加民政系统专业定点的社会组织教育培训活动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业务创新</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是否有创新性强、业绩突出、有较大社会影响力的业务活动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表彰情况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是否受到（国家级、省级或市级）政府或</w:t>
            </w:r>
            <w:r>
              <w:rPr>
                <w:rFonts w:ascii="宋体" w:hAnsi="宋体"/>
                <w:kern w:val="0"/>
                <w:sz w:val="18"/>
                <w:szCs w:val="18"/>
              </w:rPr>
              <w:t>相关政府</w:t>
            </w:r>
            <w:r>
              <w:rPr>
                <w:rFonts w:hint="eastAsia" w:ascii="宋体" w:hAnsi="宋体"/>
                <w:kern w:val="0"/>
                <w:sz w:val="18"/>
                <w:szCs w:val="18"/>
              </w:rPr>
              <w:t>部门的正式表彰和奖励</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党组织活动情况</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党组织活动是否正常（履行“三会一课”等），是否按照上级党委要求开展党建工作</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widowControl/>
        <w:ind w:left="360" w:firstLine="0" w:firstLineChars="0"/>
        <w:jc w:val="left"/>
        <w:rPr>
          <w:rFonts w:ascii="黑体" w:hAnsi="黑体" w:eastAsia="黑体" w:cs="宋体"/>
          <w:bCs/>
          <w:kern w:val="0"/>
          <w:szCs w:val="21"/>
        </w:rPr>
      </w:pPr>
    </w:p>
    <w:p>
      <w:pPr>
        <w:pStyle w:val="157"/>
        <w:widowControl/>
        <w:numPr>
          <w:ilvl w:val="0"/>
          <w:numId w:val="21"/>
        </w:numPr>
        <w:ind w:firstLineChars="0"/>
        <w:jc w:val="left"/>
        <w:rPr>
          <w:rFonts w:ascii="黑体" w:hAnsi="黑体" w:eastAsia="黑体" w:cs="宋体"/>
          <w:bCs/>
          <w:kern w:val="0"/>
          <w:szCs w:val="21"/>
        </w:rPr>
      </w:pPr>
      <w:r>
        <w:rPr>
          <w:rFonts w:hint="eastAsia" w:ascii="黑体" w:hAnsi="黑体" w:eastAsia="黑体" w:cs="宋体"/>
          <w:bCs/>
          <w:kern w:val="0"/>
          <w:szCs w:val="21"/>
        </w:rPr>
        <w:t>财务管理要求</w:t>
      </w:r>
    </w:p>
    <w:p>
      <w:pPr>
        <w:pStyle w:val="157"/>
        <w:ind w:left="360" w:firstLine="0" w:firstLineChars="0"/>
      </w:pPr>
    </w:p>
    <w:tbl>
      <w:tblPr>
        <w:tblStyle w:val="32"/>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资产来源合法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资产和经费来源应合法，收取费用、筹集资金或者接受捐赠、资助应符合国家有关规定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资产使用合法</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合法的资产和接受的捐赠、资助收入是否用于章程规定的业务活动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拥有必要资产</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是否拥有与其业务活动相适应的合法财产，以保证业务正常开展</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服务收费</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各项服务收费是否符合国家规定的范围、标准和自身实际需要</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捐赠和资助管理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接受捐赠是否符合章程规定的宗旨和业务范围，是否根据与捐赠人约定的期限、方式和合法用途使用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提供资助是否符合章程规定的宗旨和业务范围，必要时是否有与受助人约定使用期限和方式</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财务管理制度</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是否依据规定，建立了规范、可操作的财务管理制度，并严格执行</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07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会计核算</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是否执行《民间非营利组织会计制度》,会计核算基础工作是否规范，所附原始凭证、填制记账凭证、登记账簿、编制会计报表是否规范</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财务监督</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是否有责任审计。变更法定代表人之前，是否委托会计师事务所进行换届离任审计</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被</w:t>
            </w:r>
            <w:r>
              <w:rPr>
                <w:rFonts w:ascii="宋体" w:hAnsi="宋体"/>
                <w:kern w:val="0"/>
                <w:sz w:val="18"/>
                <w:szCs w:val="18"/>
              </w:rPr>
              <w:t>认定为慈善组织的</w:t>
            </w:r>
            <w:r>
              <w:rPr>
                <w:rFonts w:hint="eastAsia" w:ascii="宋体" w:hAnsi="宋体"/>
                <w:kern w:val="0"/>
                <w:sz w:val="18"/>
                <w:szCs w:val="18"/>
              </w:rPr>
              <w:t>社会</w:t>
            </w:r>
            <w:r>
              <w:rPr>
                <w:rFonts w:ascii="宋体" w:hAnsi="宋体"/>
                <w:kern w:val="0"/>
                <w:sz w:val="18"/>
                <w:szCs w:val="18"/>
              </w:rPr>
              <w:t>服务机构是否每年向社会公开其年度工作报告和财务</w:t>
            </w:r>
            <w:r>
              <w:rPr>
                <w:rFonts w:hint="eastAsia" w:ascii="宋体" w:hAnsi="宋体"/>
                <w:kern w:val="0"/>
                <w:sz w:val="18"/>
                <w:szCs w:val="18"/>
              </w:rPr>
              <w:t>会计</w:t>
            </w:r>
            <w:r>
              <w:rPr>
                <w:rFonts w:ascii="宋体" w:hAnsi="宋体"/>
                <w:kern w:val="0"/>
                <w:sz w:val="18"/>
                <w:szCs w:val="18"/>
              </w:rPr>
              <w:t>报告。</w:t>
            </w:r>
            <w:r>
              <w:rPr>
                <w:rFonts w:hint="eastAsia" w:ascii="宋体" w:hAnsi="宋体"/>
                <w:kern w:val="0"/>
                <w:sz w:val="18"/>
                <w:szCs w:val="18"/>
              </w:rPr>
              <w:t>具有公开募捐资格的被认定为慈善组织的社会服务机构财务会计报告是否经审计</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税务管理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是否依法办理税务登记，</w:t>
            </w:r>
            <w:r>
              <w:rPr>
                <w:rFonts w:ascii="宋体" w:hAnsi="宋体"/>
                <w:kern w:val="0"/>
                <w:sz w:val="18"/>
                <w:szCs w:val="18"/>
              </w:rPr>
              <w:t>并按照规定</w:t>
            </w:r>
            <w:r>
              <w:rPr>
                <w:rFonts w:hint="eastAsia" w:ascii="宋体" w:hAnsi="宋体"/>
                <w:kern w:val="0"/>
                <w:sz w:val="18"/>
                <w:szCs w:val="18"/>
              </w:rPr>
              <w:t>进行</w:t>
            </w:r>
            <w:r>
              <w:rPr>
                <w:rFonts w:ascii="宋体" w:hAnsi="宋体"/>
                <w:kern w:val="0"/>
                <w:sz w:val="18"/>
                <w:szCs w:val="18"/>
              </w:rPr>
              <w:t>各种税项的申报和缴纳</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个人所得是否均依法办理纳税申报</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票据管理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是否依据规定到票据管理部门申请办理票据领购手续</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税务和财政票据是否实行专人管理，有领用、使用、核销登记台账</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对相关业务是否使用正规的税务、财政票据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08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财务人员</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财会人员是否按规定实行会计、出纳分设，持从业资格证上岗，并有严格的岗位职责，做到分工明确；未设置专门财会人员的，是否委托有资质的代理记账中介机构进行代理记账工作，并经理事会会议审议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会计档案管理</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是否建立规范的档案管理制度，会计人员调动时，是否办理对财务资料交接手续，会计档案管理工作是否加强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收入资产状况</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年度总收入是否稳定或持续增长</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61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年末净资产是否保持稳定或持续增长</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7513" w:type="dxa"/>
            <w:gridSpan w:val="4"/>
            <w:tcBorders>
              <w:top w:val="nil"/>
              <w:left w:val="nil"/>
              <w:bottom w:val="nil"/>
              <w:right w:val="nil"/>
            </w:tcBorders>
            <w:shd w:val="clear" w:color="auto" w:fill="auto"/>
            <w:vAlign w:val="center"/>
          </w:tcPr>
          <w:p>
            <w:pPr>
              <w:widowControl/>
              <w:jc w:val="left"/>
              <w:rPr>
                <w:rFonts w:ascii="宋体" w:hAnsi="宋体"/>
                <w:bCs/>
                <w:kern w:val="0"/>
                <w:sz w:val="18"/>
                <w:szCs w:val="18"/>
              </w:rPr>
            </w:pPr>
            <w:bookmarkStart w:id="147" w:name="RANGE!A77:G92"/>
            <w:r>
              <w:rPr>
                <w:rFonts w:hint="eastAsia" w:ascii="黑体" w:hAnsi="黑体" w:eastAsia="黑体"/>
                <w:bCs/>
                <w:kern w:val="0"/>
                <w:szCs w:val="21"/>
              </w:rPr>
              <w:t>5.信息公开要求</w:t>
            </w:r>
            <w:bookmarkEnd w:id="147"/>
          </w:p>
        </w:tc>
        <w:tc>
          <w:tcPr>
            <w:tcW w:w="985" w:type="dxa"/>
            <w:tcBorders>
              <w:top w:val="nil"/>
              <w:left w:val="nil"/>
              <w:bottom w:val="nil"/>
              <w:right w:val="nil"/>
            </w:tcBorders>
            <w:shd w:val="clear" w:color="auto" w:fill="auto"/>
            <w:vAlign w:val="center"/>
          </w:tcPr>
          <w:p>
            <w:pPr>
              <w:widowControl/>
              <w:jc w:val="left"/>
              <w:rPr>
                <w:rFonts w:ascii="宋体" w:hAnsi="宋体"/>
                <w:kern w:val="0"/>
                <w:sz w:val="18"/>
                <w:szCs w:val="18"/>
              </w:rPr>
            </w:pPr>
          </w:p>
        </w:tc>
      </w:tr>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54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是否建立健全信息公开管理制度，对公开信息的真实性、完整性、及时性负责。公开信息是否便于公众获取，是否有虚假记载、误导性陈述或者重大遗漏</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是否有指定专人负责处理信息公布的有关事务，及时公开信息，频次符合管理要求</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对于已经公开的信息，是否制作信息公开档案，妥善保管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62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信息公开内容</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在网站等渠道及时公开相关资料，内容丰富，体现组织特点和业务范围。（内容包括：登记、许可事项；章程；负责人、理事和监事名单；决策、执行、监督机构成员信息；是否认定为慈善组织；是否享有税收优惠、资助补贴等优惠措施；政府购买服务情况；接收检查、抽查、评估的结果；接受表彰、处罚情况；服务内容和收费标准；接受捐赠和使用情况；与利益关联方发生交易情况；设立执行机构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方便信息查阅</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公布的信息内容中是否包括机构名称、住所、业务范围、日常活动内容、咨询方式等，可以保证社会公众能够方便快捷地查阅、询问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公众质疑回应</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是否及时回复公众质疑</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办公场所信息公开</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是否在办公场所和服务场所公开机构信息及</w:t>
            </w:r>
            <w:r>
              <w:rPr>
                <w:rFonts w:ascii="宋体" w:hAnsi="宋体"/>
                <w:kern w:val="0"/>
                <w:sz w:val="18"/>
                <w:szCs w:val="18"/>
              </w:rPr>
              <w:t>服务信息</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内部信息公开</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机构内部是否公开规章制度、业务活动等相关信息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渠道多元化</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信息建设平台多样，信息公开渠道丰富</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08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年报情况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规定向业务主管单位和登记管理机关编制并报送年度工作报告，年报内容是否真实。（年报内容包括：基本情况；业务活动情况；组织机构情况；接受有关部门监督管理的情况；监事意见；履行信息公开义务的情况；财务会计报告）</w:t>
            </w:r>
          </w:p>
          <w:p>
            <w:pPr>
              <w:widowControl/>
              <w:jc w:val="left"/>
              <w:rPr>
                <w:rFonts w:ascii="宋体" w:hAnsi="宋体"/>
                <w:kern w:val="0"/>
                <w:sz w:val="18"/>
                <w:szCs w:val="18"/>
              </w:rPr>
            </w:pPr>
            <w:r>
              <w:rPr>
                <w:rFonts w:hint="eastAsia" w:ascii="宋体" w:hAnsi="宋体"/>
                <w:kern w:val="0"/>
                <w:sz w:val="18"/>
                <w:szCs w:val="18"/>
              </w:rPr>
              <w:t>如社会服务机构被认定为慈善组织，报告中</w:t>
            </w:r>
            <w:r>
              <w:rPr>
                <w:rFonts w:ascii="宋体" w:hAnsi="宋体"/>
                <w:kern w:val="0"/>
                <w:sz w:val="18"/>
                <w:szCs w:val="18"/>
              </w:rPr>
              <w:t>是否</w:t>
            </w:r>
            <w:r>
              <w:rPr>
                <w:rFonts w:hint="eastAsia" w:ascii="宋体" w:hAnsi="宋体"/>
                <w:kern w:val="0"/>
                <w:sz w:val="18"/>
                <w:szCs w:val="18"/>
              </w:rPr>
              <w:t>包括年度开展募捐和接收捐赠情况、慈善财产的管理使用情况、慈善项目实施情况以及慈善组织工作人员的工资福利情况等。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年度工作报告向社会公开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xml:space="preserve">编制并报送年报资料时是否按照要求真实准确填写《党建情况表》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不得公开事项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涉及国家秘密、商业机密和个人隐私的信息以及法律、行政法规规定不予公开的其他信息，不得公开。捐赠人不同意公开的信息，不得公开。</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3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r>
      <w:tr>
        <w:tblPrEx>
          <w:tblCellMar>
            <w:top w:w="0" w:type="dxa"/>
            <w:left w:w="108" w:type="dxa"/>
            <w:bottom w:w="0" w:type="dxa"/>
            <w:right w:w="108" w:type="dxa"/>
          </w:tblCellMar>
        </w:tblPrEx>
        <w:trPr>
          <w:trHeight w:val="585" w:hRule="atLeast"/>
        </w:trPr>
        <w:tc>
          <w:tcPr>
            <w:tcW w:w="8498" w:type="dxa"/>
            <w:gridSpan w:val="5"/>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备注：社会服务机构被民政部门登记或者认定为慈善组织的，应比照基金会信息公开相关指标评分</w:t>
            </w:r>
          </w:p>
        </w:tc>
      </w:tr>
    </w:tbl>
    <w:p>
      <w:pPr>
        <w:widowControl/>
        <w:rPr>
          <w:rFonts w:ascii="黑体" w:hAnsi="黑体" w:eastAsia="黑体"/>
          <w:bCs/>
          <w:kern w:val="0"/>
          <w:szCs w:val="21"/>
        </w:rPr>
      </w:pPr>
      <w:r>
        <w:rPr>
          <w:rFonts w:hint="eastAsia" w:ascii="黑体" w:hAnsi="黑体" w:eastAsia="黑体"/>
          <w:bCs/>
          <w:kern w:val="0"/>
          <w:szCs w:val="21"/>
        </w:rPr>
        <w:t>被</w:t>
      </w:r>
      <w:r>
        <w:rPr>
          <w:rFonts w:ascii="黑体" w:hAnsi="黑体" w:eastAsia="黑体"/>
          <w:bCs/>
          <w:kern w:val="0"/>
          <w:szCs w:val="21"/>
        </w:rPr>
        <w:t>考评社会组织签名</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日期：</w:t>
      </w:r>
    </w:p>
    <w:p>
      <w:pPr>
        <w:ind w:firstLine="420" w:firstLineChars="200"/>
      </w:pPr>
    </w:p>
    <w:p/>
    <w:tbl>
      <w:tblPr>
        <w:tblStyle w:val="32"/>
        <w:tblW w:w="9477" w:type="dxa"/>
        <w:tblInd w:w="93" w:type="dxa"/>
        <w:tblLayout w:type="fixed"/>
        <w:tblCellMar>
          <w:top w:w="0" w:type="dxa"/>
          <w:left w:w="108" w:type="dxa"/>
          <w:bottom w:w="0" w:type="dxa"/>
          <w:right w:w="108" w:type="dxa"/>
        </w:tblCellMar>
      </w:tblPr>
      <w:tblGrid>
        <w:gridCol w:w="9477"/>
      </w:tblGrid>
      <w:tr>
        <w:tblPrEx>
          <w:tblCellMar>
            <w:top w:w="0" w:type="dxa"/>
            <w:left w:w="108" w:type="dxa"/>
            <w:bottom w:w="0" w:type="dxa"/>
            <w:right w:w="108" w:type="dxa"/>
          </w:tblCellMar>
        </w:tblPrEx>
        <w:trPr>
          <w:trHeight w:val="930" w:hRule="atLeast"/>
        </w:trPr>
        <w:tc>
          <w:tcPr>
            <w:tcW w:w="9477" w:type="dxa"/>
            <w:tcBorders>
              <w:top w:val="nil"/>
              <w:left w:val="nil"/>
              <w:bottom w:val="nil"/>
              <w:right w:val="nil"/>
            </w:tcBorders>
            <w:shd w:val="clear" w:color="auto" w:fill="auto"/>
            <w:vAlign w:val="center"/>
          </w:tcPr>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rPr>
                <w:rFonts w:ascii="黑体" w:hAnsi="黑体" w:eastAsia="黑体"/>
                <w:bCs/>
                <w:kern w:val="0"/>
                <w:szCs w:val="21"/>
              </w:rPr>
            </w:pPr>
          </w:p>
          <w:p>
            <w:pPr>
              <w:widowControl/>
              <w:rPr>
                <w:rFonts w:ascii="黑体" w:hAnsi="黑体" w:eastAsia="黑体"/>
                <w:bCs/>
                <w:kern w:val="0"/>
                <w:szCs w:val="21"/>
              </w:rPr>
            </w:pPr>
          </w:p>
          <w:p>
            <w:pPr>
              <w:keepNext/>
              <w:widowControl/>
              <w:shd w:val="clear" w:color="auto" w:fill="FFFFFF"/>
              <w:ind w:left="720"/>
              <w:jc w:val="left"/>
              <w:outlineLvl w:val="0"/>
              <w:rPr>
                <w:rFonts w:ascii="黑体" w:eastAsia="黑体"/>
                <w:kern w:val="0"/>
                <w:szCs w:val="21"/>
              </w:rPr>
            </w:pPr>
            <w:bookmarkStart w:id="148" w:name="_Toc478734666"/>
            <w:r>
              <w:rPr>
                <w:rFonts w:hint="eastAsia" w:ascii="黑体" w:eastAsia="黑体"/>
                <w:kern w:val="0"/>
                <w:szCs w:val="21"/>
              </w:rPr>
              <w:t xml:space="preserve">                                   附录C</w:t>
            </w:r>
            <w:bookmarkEnd w:id="148"/>
          </w:p>
          <w:p>
            <w:pPr>
              <w:widowControl/>
              <w:jc w:val="center"/>
              <w:rPr>
                <w:rFonts w:ascii="黑体" w:hAnsi="黑体" w:eastAsia="黑体"/>
                <w:bCs/>
                <w:kern w:val="0"/>
                <w:szCs w:val="21"/>
              </w:rPr>
            </w:pPr>
            <w:r>
              <w:rPr>
                <w:rFonts w:hint="eastAsia" w:ascii="黑体" w:hAnsi="黑体" w:eastAsia="黑体"/>
                <w:bCs/>
                <w:kern w:val="0"/>
                <w:szCs w:val="21"/>
              </w:rPr>
              <w:t>（规范附录）</w:t>
            </w:r>
          </w:p>
          <w:p>
            <w:pPr>
              <w:widowControl/>
              <w:jc w:val="center"/>
              <w:rPr>
                <w:rFonts w:ascii="黑体" w:hAnsi="黑体" w:eastAsia="黑体"/>
                <w:b/>
                <w:bCs/>
                <w:kern w:val="0"/>
                <w:szCs w:val="21"/>
              </w:rPr>
            </w:pPr>
            <w:r>
              <w:rPr>
                <w:rFonts w:hint="eastAsia" w:ascii="黑体" w:hAnsi="黑体" w:eastAsia="黑体"/>
                <w:b/>
                <w:bCs/>
                <w:kern w:val="0"/>
                <w:szCs w:val="21"/>
              </w:rPr>
              <w:t>基金会评估指标评分表</w:t>
            </w:r>
          </w:p>
          <w:p>
            <w:pPr>
              <w:widowControl/>
              <w:jc w:val="center"/>
              <w:rPr>
                <w:rFonts w:ascii="黑体" w:hAnsi="黑体" w:eastAsia="黑体"/>
                <w:b/>
                <w:bCs/>
                <w:kern w:val="0"/>
                <w:szCs w:val="21"/>
              </w:rPr>
            </w:pPr>
          </w:p>
          <w:p>
            <w:pPr>
              <w:widowControl/>
              <w:rPr>
                <w:rFonts w:ascii="黑体" w:hAnsi="黑体" w:eastAsia="黑体"/>
                <w:bCs/>
                <w:kern w:val="0"/>
                <w:szCs w:val="21"/>
              </w:rPr>
            </w:pPr>
            <w:r>
              <w:rPr>
                <w:rFonts w:hint="eastAsia" w:ascii="黑体" w:hAnsi="黑体" w:eastAsia="黑体"/>
                <w:bCs/>
                <w:kern w:val="0"/>
                <w:szCs w:val="21"/>
              </w:rPr>
              <w:t xml:space="preserve">考评员姓名：                                  </w:t>
            </w:r>
            <w:r>
              <w:rPr>
                <w:rFonts w:ascii="黑体" w:hAnsi="黑体" w:eastAsia="黑体"/>
                <w:bCs/>
                <w:kern w:val="0"/>
                <w:szCs w:val="21"/>
              </w:rPr>
              <w:t xml:space="preserve">  </w:t>
            </w:r>
            <w:r>
              <w:rPr>
                <w:rFonts w:hint="eastAsia" w:ascii="黑体" w:hAnsi="黑体" w:eastAsia="黑体"/>
                <w:bCs/>
                <w:kern w:val="0"/>
                <w:szCs w:val="21"/>
              </w:rPr>
              <w:t>被考评社会组织名称：</w:t>
            </w:r>
          </w:p>
          <w:p>
            <w:pPr>
              <w:widowControl/>
              <w:rPr>
                <w:rFonts w:ascii="黑体" w:hAnsi="黑体" w:eastAsia="黑体"/>
                <w:bCs/>
                <w:kern w:val="0"/>
                <w:szCs w:val="21"/>
              </w:rPr>
            </w:pPr>
          </w:p>
          <w:p>
            <w:pPr>
              <w:widowControl/>
              <w:rPr>
                <w:rFonts w:ascii="黑体" w:hAnsi="黑体" w:eastAsia="黑体"/>
                <w:bCs/>
                <w:kern w:val="0"/>
                <w:szCs w:val="21"/>
              </w:rPr>
            </w:pPr>
          </w:p>
        </w:tc>
      </w:tr>
    </w:tbl>
    <w:p>
      <w:pPr>
        <w:pStyle w:val="157"/>
        <w:numPr>
          <w:ilvl w:val="0"/>
          <w:numId w:val="22"/>
        </w:numPr>
        <w:ind w:firstLineChars="0"/>
        <w:rPr>
          <w:rFonts w:ascii="黑体" w:hAnsi="黑体" w:eastAsia="黑体" w:cs="宋体"/>
          <w:bCs/>
          <w:kern w:val="0"/>
          <w:szCs w:val="21"/>
        </w:rPr>
      </w:pPr>
      <w:r>
        <w:rPr>
          <w:rFonts w:hint="eastAsia" w:ascii="黑体" w:hAnsi="黑体" w:eastAsia="黑体" w:cs="宋体"/>
          <w:bCs/>
          <w:kern w:val="0"/>
          <w:szCs w:val="21"/>
        </w:rPr>
        <w:t>依法登记和接受监管要求</w:t>
      </w:r>
    </w:p>
    <w:p>
      <w:pPr>
        <w:pStyle w:val="157"/>
        <w:ind w:left="360" w:firstLine="0" w:firstLineChars="0"/>
      </w:pPr>
    </w:p>
    <w:tbl>
      <w:tblPr>
        <w:tblStyle w:val="32"/>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登记情况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bookmarkStart w:id="149" w:name="RANGE!C5"/>
            <w:r>
              <w:rPr>
                <w:rFonts w:hint="eastAsia" w:asciiTheme="minorEastAsia" w:hAnsiTheme="minorEastAsia" w:eastAsiaTheme="minorEastAsia"/>
                <w:kern w:val="0"/>
                <w:sz w:val="18"/>
                <w:szCs w:val="18"/>
              </w:rPr>
              <w:t>是否依法登记</w:t>
            </w:r>
            <w:bookmarkEnd w:id="149"/>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纳税情况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登记后是否依法办理税务登记和纳税</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原始基金</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年末净资产是否低于原始基金</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办公条件</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是否有固定的住所，且满足办公需要</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是否具备相应的办公设备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办公场所是否悬挂单位名称牌匾</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章程核准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章程制定和修改，是否及时报登记管理机关核准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履行章程情况</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是否按照报登记管理机关核准的章程开展工作</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94"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组织备案</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组织机构代码证、税务登记证书、印章、负责人、银行开户证明等是否符合相关程序备案</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合规管理</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是否有违法行为记录</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变更登记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登记事项发生变更时，是否及时向登记管理机关申请变更登记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异常活动名录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是否在登记管理机关的异常活动名录中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负责人管理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基金会的负责人是否在任职前公示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279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宋体" w:hAnsi="宋体"/>
                <w:sz w:val="18"/>
                <w:szCs w:val="18"/>
              </w:rPr>
              <w:t>基金会的法定代表人及负责人不得有以下情形</w:t>
            </w:r>
            <w:r>
              <w:rPr>
                <w:rFonts w:hint="eastAsia" w:asciiTheme="minorEastAsia" w:hAnsiTheme="minorEastAsia" w:eastAsiaTheme="minorEastAsia"/>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法定代表人是否同时担任其他组织的法定代表人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负责人是否参与登记管理机关组织的培训活动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pStyle w:val="157"/>
        <w:ind w:left="360" w:firstLine="0" w:firstLineChars="0"/>
        <w:rPr>
          <w:rFonts w:ascii="黑体" w:hAnsi="黑体" w:eastAsia="黑体" w:cs="宋体"/>
          <w:bCs/>
          <w:kern w:val="0"/>
          <w:szCs w:val="21"/>
        </w:rPr>
      </w:pPr>
    </w:p>
    <w:p>
      <w:pPr>
        <w:pStyle w:val="157"/>
        <w:numPr>
          <w:ilvl w:val="0"/>
          <w:numId w:val="22"/>
        </w:numPr>
        <w:ind w:firstLineChars="0"/>
        <w:rPr>
          <w:rFonts w:ascii="黑体" w:hAnsi="黑体" w:eastAsia="黑体" w:cs="宋体"/>
          <w:bCs/>
          <w:kern w:val="0"/>
          <w:szCs w:val="21"/>
        </w:rPr>
      </w:pPr>
      <w:r>
        <w:rPr>
          <w:rFonts w:hint="eastAsia" w:ascii="黑体" w:hAnsi="黑体" w:eastAsia="黑体" w:cs="宋体"/>
          <w:bCs/>
          <w:kern w:val="0"/>
          <w:szCs w:val="21"/>
        </w:rPr>
        <w:t xml:space="preserve"> 内部治理要求</w:t>
      </w:r>
    </w:p>
    <w:p>
      <w:pPr>
        <w:rPr>
          <w:rFonts w:ascii="黑体" w:hAnsi="黑体" w:eastAsia="黑体"/>
          <w:bCs/>
          <w:kern w:val="0"/>
          <w:szCs w:val="21"/>
        </w:rPr>
      </w:pPr>
    </w:p>
    <w:tbl>
      <w:tblPr>
        <w:tblStyle w:val="32"/>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right w:val="nil"/>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w:t>
            </w:r>
          </w:p>
          <w:p>
            <w:pPr>
              <w:jc w:val="center"/>
              <w:rPr>
                <w:rFonts w:asciiTheme="minorEastAsia" w:hAnsiTheme="minorEastAsia" w:eastAsiaTheme="minorEastAsia"/>
                <w:bCs/>
                <w:kern w:val="0"/>
                <w:sz w:val="18"/>
                <w:szCs w:val="18"/>
              </w:rPr>
            </w:pPr>
            <w:r>
              <w:rPr>
                <w:rFonts w:hint="eastAsia" w:asciiTheme="minorEastAsia" w:hAnsiTheme="minorEastAsia" w:eastAsiaTheme="minorEastAsia"/>
                <w:kern w:val="0"/>
                <w:sz w:val="18"/>
                <w:szCs w:val="18"/>
              </w:rPr>
              <w:t>　</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法人治理结构</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是否依照法规规章规范性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政策和章程建立健全法人治理结构和运行机制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法定代表人</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法定代表人和负责人的产生、罢免是否符合法规规章规范性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和章程的规定</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理事会运作规范</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是否按章程规定设立理事会，并召开理事会会议，理事会发挥作用良好</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监事、监事会履行职责</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是否按章程设立监事、监事会，监事、监事会是否履行职责并发挥作用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内部监督机制</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是否落实民主选举、民主决策和民主管理，内部监督机制是否</w:t>
            </w:r>
            <w:r>
              <w:rPr>
                <w:rFonts w:asciiTheme="minorEastAsia" w:hAnsiTheme="minorEastAsia" w:eastAsiaTheme="minorEastAsia"/>
                <w:kern w:val="0"/>
                <w:sz w:val="18"/>
                <w:szCs w:val="18"/>
              </w:rPr>
              <w:t>健全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负责人任职</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理事长、副理事长和秘书长是否由现职国家工作人员兼任</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公募基金会和原始基金来自中国内地的非公募基金会的法定代表人，是否由内地居民担任</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组织机构运行</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理事会的运行是否符合法律法规和章程的规定</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监事会的运行是否符合法律法规和章程的规定</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秘书处的运行是否符合法律法规和章程的规定</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86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党建工作</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sz w:val="18"/>
                <w:szCs w:val="18"/>
              </w:rPr>
              <w:t>党</w:t>
            </w:r>
            <w:r>
              <w:rPr>
                <w:rFonts w:ascii="宋体" w:hAnsi="宋体"/>
                <w:sz w:val="18"/>
                <w:szCs w:val="18"/>
              </w:rPr>
              <w:t>组织</w:t>
            </w:r>
            <w:r>
              <w:rPr>
                <w:rFonts w:hint="eastAsia" w:ascii="宋体" w:hAnsi="宋体"/>
                <w:sz w:val="18"/>
                <w:szCs w:val="18"/>
              </w:rPr>
              <w:t>是否</w:t>
            </w:r>
            <w:r>
              <w:rPr>
                <w:rFonts w:ascii="宋体" w:hAnsi="宋体"/>
                <w:sz w:val="18"/>
                <w:szCs w:val="18"/>
              </w:rPr>
              <w:t>参与</w:t>
            </w:r>
            <w:r>
              <w:rPr>
                <w:rFonts w:hint="eastAsia" w:ascii="宋体" w:hAnsi="宋体"/>
                <w:sz w:val="18"/>
                <w:szCs w:val="18"/>
              </w:rPr>
              <w:t>基金会</w:t>
            </w:r>
            <w:r>
              <w:rPr>
                <w:rFonts w:ascii="宋体" w:hAnsi="宋体"/>
                <w:sz w:val="18"/>
                <w:szCs w:val="18"/>
              </w:rPr>
              <w:t>的重大问题</w:t>
            </w:r>
            <w:r>
              <w:rPr>
                <w:rFonts w:hint="eastAsia" w:ascii="宋体" w:hAnsi="宋体"/>
                <w:sz w:val="18"/>
                <w:szCs w:val="18"/>
              </w:rPr>
              <w:t>的决策</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专职工作人员</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是否有与开展业务活动相适应的专职工作人员</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人力资源管理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是否制定并执行负责人（秘书长）聘用管理制度，负责人（秘书长）是否具有管理协调能力</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是否制定并执行工作人员聘用、任职和薪酬制度</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是否制定并执行工作人员绩效考核和奖惩制度</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58" w:hRule="atLeast"/>
        </w:trPr>
        <w:tc>
          <w:tcPr>
            <w:tcW w:w="851" w:type="dxa"/>
            <w:vMerge w:val="continue"/>
            <w:tcBorders>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公益价值理念</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机构运行和管理是否体现公益价值理念</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志愿者管理</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是否有建立稳定</w:t>
            </w:r>
            <w:r>
              <w:rPr>
                <w:rFonts w:asciiTheme="minorEastAsia" w:hAnsiTheme="minorEastAsia" w:eastAsiaTheme="minorEastAsia"/>
                <w:kern w:val="0"/>
                <w:sz w:val="18"/>
                <w:szCs w:val="18"/>
              </w:rPr>
              <w:t>的</w:t>
            </w:r>
            <w:r>
              <w:rPr>
                <w:rFonts w:hint="eastAsia" w:asciiTheme="minorEastAsia" w:hAnsiTheme="minorEastAsia" w:eastAsiaTheme="minorEastAsia"/>
                <w:kern w:val="0"/>
                <w:sz w:val="18"/>
                <w:szCs w:val="18"/>
              </w:rPr>
              <w:t>志愿者队伍，建立并执行志愿者招募及管理制度</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档案、证书、印章管理制度</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是否有建立并执行档案、证书、印章管理制度</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重大事项报告</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是否有建立重大事项和重大公益项目报告制度，如</w:t>
            </w:r>
            <w:r>
              <w:rPr>
                <w:rFonts w:asciiTheme="minorEastAsia" w:hAnsiTheme="minorEastAsia" w:eastAsiaTheme="minorEastAsia"/>
                <w:kern w:val="0"/>
                <w:sz w:val="18"/>
                <w:szCs w:val="18"/>
              </w:rPr>
              <w:t>发生</w:t>
            </w:r>
            <w:r>
              <w:rPr>
                <w:rFonts w:hint="eastAsia" w:asciiTheme="minorEastAsia" w:hAnsiTheme="minorEastAsia" w:eastAsiaTheme="minorEastAsia"/>
                <w:kern w:val="0"/>
                <w:sz w:val="18"/>
                <w:szCs w:val="18"/>
              </w:rPr>
              <w:t>是否有报相关主管单位备案</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诚信自律建设</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w:t>
            </w:r>
            <w:r>
              <w:rPr>
                <w:rFonts w:hint="eastAsia" w:ascii="宋体" w:hAnsi="宋体"/>
                <w:sz w:val="18"/>
                <w:szCs w:val="18"/>
              </w:rPr>
              <w:t>加强自身诚信自律建设，建立诚信承诺制度。是否建立活动影响评估机制，</w:t>
            </w:r>
            <w:r>
              <w:rPr>
                <w:rFonts w:ascii="宋体" w:hAnsi="宋体"/>
                <w:sz w:val="18"/>
                <w:szCs w:val="18"/>
              </w:rPr>
              <w:t>对</w:t>
            </w:r>
            <w:r>
              <w:rPr>
                <w:rFonts w:hint="eastAsia" w:ascii="宋体" w:hAnsi="宋体"/>
                <w:sz w:val="18"/>
                <w:szCs w:val="18"/>
              </w:rPr>
              <w:t>可能</w:t>
            </w:r>
            <w:r>
              <w:rPr>
                <w:rFonts w:ascii="宋体" w:hAnsi="宋体"/>
                <w:sz w:val="18"/>
                <w:szCs w:val="18"/>
              </w:rPr>
              <w:t>引发社会风险的重要事项应事</w:t>
            </w:r>
            <w:r>
              <w:rPr>
                <w:rFonts w:hint="eastAsia" w:ascii="宋体" w:hAnsi="宋体"/>
                <w:sz w:val="18"/>
                <w:szCs w:val="18"/>
              </w:rPr>
              <w:t>先向</w:t>
            </w:r>
            <w:r>
              <w:rPr>
                <w:rFonts w:ascii="宋体" w:hAnsi="宋体"/>
                <w:sz w:val="18"/>
                <w:szCs w:val="18"/>
              </w:rPr>
              <w:t>政府</w:t>
            </w:r>
            <w:r>
              <w:rPr>
                <w:rFonts w:hint="eastAsia" w:ascii="宋体" w:hAnsi="宋体"/>
                <w:sz w:val="18"/>
                <w:szCs w:val="18"/>
              </w:rPr>
              <w:t>有关</w:t>
            </w:r>
            <w:r>
              <w:rPr>
                <w:rFonts w:ascii="宋体" w:hAnsi="宋体"/>
                <w:sz w:val="18"/>
                <w:szCs w:val="18"/>
              </w:rPr>
              <w:t>部门报告</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pStyle w:val="157"/>
        <w:ind w:left="360" w:firstLine="0" w:firstLineChars="0"/>
        <w:rPr>
          <w:rFonts w:ascii="黑体" w:hAnsi="黑体" w:eastAsia="黑体" w:cs="宋体"/>
          <w:bCs/>
          <w:kern w:val="0"/>
          <w:szCs w:val="21"/>
        </w:rPr>
      </w:pPr>
    </w:p>
    <w:p>
      <w:pPr>
        <w:pStyle w:val="157"/>
        <w:numPr>
          <w:ilvl w:val="0"/>
          <w:numId w:val="22"/>
        </w:numPr>
        <w:ind w:firstLineChars="0"/>
        <w:rPr>
          <w:rFonts w:ascii="黑体" w:hAnsi="黑体" w:eastAsia="黑体" w:cs="宋体"/>
          <w:bCs/>
          <w:kern w:val="0"/>
          <w:szCs w:val="21"/>
        </w:rPr>
      </w:pPr>
      <w:r>
        <w:rPr>
          <w:rFonts w:hint="eastAsia" w:ascii="黑体" w:hAnsi="黑体" w:eastAsia="黑体" w:cs="宋体"/>
          <w:bCs/>
          <w:kern w:val="0"/>
          <w:szCs w:val="21"/>
        </w:rPr>
        <w:t>业务活动要求</w:t>
      </w:r>
    </w:p>
    <w:p/>
    <w:tbl>
      <w:tblPr>
        <w:tblStyle w:val="32"/>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募捐和接收捐赠合法</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组织募捐、接受捐赠是否符合法律法规规章规范性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资助合法</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开展资助活动和开展公益项目具有非盈利性，是否符合法律法规规章规范性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募集资金额度或接受捐赠额度</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逐年募集和接受资金（物资）总额是否达到法律法规规章规范性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和章程规定的相应额度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公益事业支出</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公益支出比例是否符合相关法律规定，公益事业支出增长额是否合理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69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项目运作规范</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是否制定项目管理制度，项目运作是否规范</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项目影响力</w:t>
            </w:r>
          </w:p>
        </w:tc>
        <w:tc>
          <w:tcPr>
            <w:tcW w:w="4252" w:type="dxa"/>
            <w:tcBorders>
              <w:top w:val="nil"/>
              <w:left w:val="nil"/>
              <w:bottom w:val="single" w:color="auto" w:sz="4" w:space="0"/>
              <w:right w:val="nil"/>
            </w:tcBorders>
            <w:shd w:val="clear" w:color="auto" w:fill="auto"/>
            <w:vAlign w:val="center"/>
          </w:tcPr>
          <w:p>
            <w:pPr>
              <w:pStyle w:val="46"/>
              <w:spacing w:before="156" w:after="156"/>
              <w:rPr>
                <w:rFonts w:ascii="宋体" w:hAnsi="宋体" w:eastAsia="宋体"/>
                <w:sz w:val="18"/>
                <w:szCs w:val="18"/>
              </w:rPr>
            </w:pPr>
            <w:r>
              <w:rPr>
                <w:rFonts w:hint="eastAsia" w:cs="宋体" w:asciiTheme="minorEastAsia" w:hAnsiTheme="minorEastAsia" w:eastAsiaTheme="minorEastAsia"/>
                <w:sz w:val="18"/>
                <w:szCs w:val="18"/>
              </w:rPr>
              <w:t>是否</w:t>
            </w:r>
            <w:r>
              <w:rPr>
                <w:rFonts w:hint="eastAsia" w:ascii="宋体" w:hAnsi="宋体" w:eastAsia="宋体"/>
                <w:sz w:val="18"/>
                <w:szCs w:val="18"/>
              </w:rPr>
              <w:t>有</w:t>
            </w:r>
            <w:r>
              <w:rPr>
                <w:rFonts w:ascii="宋体" w:hAnsi="宋体" w:eastAsia="宋体"/>
                <w:sz w:val="18"/>
                <w:szCs w:val="18"/>
              </w:rPr>
              <w:t>常规项目。</w:t>
            </w:r>
            <w:r>
              <w:rPr>
                <w:rFonts w:hint="eastAsia" w:ascii="宋体" w:hAnsi="宋体" w:eastAsia="宋体"/>
                <w:sz w:val="18"/>
                <w:szCs w:val="18"/>
              </w:rPr>
              <w:t>常规</w:t>
            </w:r>
            <w:r>
              <w:rPr>
                <w:rFonts w:ascii="宋体" w:hAnsi="宋体" w:eastAsia="宋体"/>
                <w:sz w:val="18"/>
                <w:szCs w:val="18"/>
              </w:rPr>
              <w:t>项目</w:t>
            </w:r>
            <w:r>
              <w:rPr>
                <w:rFonts w:hint="eastAsia" w:ascii="宋体" w:hAnsi="宋体" w:eastAsia="宋体"/>
                <w:sz w:val="18"/>
                <w:szCs w:val="18"/>
              </w:rPr>
              <w:t>是否有</w:t>
            </w:r>
            <w:r>
              <w:rPr>
                <w:rFonts w:ascii="宋体" w:hAnsi="宋体" w:eastAsia="宋体"/>
                <w:sz w:val="18"/>
                <w:szCs w:val="18"/>
              </w:rPr>
              <w:t>合理数量，并</w:t>
            </w:r>
            <w:r>
              <w:rPr>
                <w:rFonts w:hint="eastAsia" w:ascii="宋体" w:hAnsi="宋体" w:eastAsia="宋体"/>
                <w:sz w:val="18"/>
                <w:szCs w:val="18"/>
              </w:rPr>
              <w:t>具有较大的覆盖面和良好的社会影响。</w:t>
            </w:r>
          </w:p>
          <w:p>
            <w:pPr>
              <w:widowControl/>
              <w:jc w:val="left"/>
              <w:rPr>
                <w:rFonts w:asciiTheme="minorEastAsia" w:hAnsiTheme="minorEastAsia" w:eastAsia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316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捐赠管理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接受捐赠，是否与捐赠人明确权利和义务，根据捐赠人要求与其签订书面捐赠协议，明确捐赠具体使用方式，并根据捐赠协议的约定使用。接受捐赠的物资无法用于符合其宗旨的用途时，是否依法拍卖或者变卖，所得收入是否用于捐赠目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279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资助管理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提供资助，是否与受助人签订资助协议，约定资助方式、资助数额以及资金用途和使用方式，并对资助的使用情况进行监督。对受助人未按协议约定使用资助或者有其他违反协议情形的，是否变更或解除资助协议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政府合作</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是否与各级政府及</w:t>
            </w:r>
            <w:r>
              <w:rPr>
                <w:rFonts w:asciiTheme="minorEastAsia" w:hAnsiTheme="minorEastAsia" w:eastAsiaTheme="minorEastAsia"/>
                <w:kern w:val="0"/>
                <w:sz w:val="18"/>
                <w:szCs w:val="18"/>
              </w:rPr>
              <w:t>相关政府部门</w:t>
            </w:r>
            <w:r>
              <w:rPr>
                <w:rFonts w:hint="eastAsia" w:asciiTheme="minorEastAsia" w:hAnsiTheme="minorEastAsia" w:eastAsiaTheme="minorEastAsia"/>
                <w:kern w:val="0"/>
                <w:sz w:val="18"/>
                <w:szCs w:val="18"/>
              </w:rPr>
              <w:t>有合作</w:t>
            </w:r>
            <w:r>
              <w:rPr>
                <w:rFonts w:hint="eastAsia" w:ascii="宋体" w:hAnsi="宋体"/>
                <w:sz w:val="18"/>
                <w:szCs w:val="18"/>
              </w:rPr>
              <w:t>开展捐赠资助、</w:t>
            </w:r>
            <w:r>
              <w:rPr>
                <w:rFonts w:ascii="宋体" w:hAnsi="宋体"/>
                <w:sz w:val="18"/>
                <w:szCs w:val="18"/>
              </w:rPr>
              <w:t>宣传</w:t>
            </w:r>
            <w:r>
              <w:rPr>
                <w:rFonts w:hint="eastAsia" w:ascii="宋体" w:hAnsi="宋体"/>
                <w:sz w:val="18"/>
                <w:szCs w:val="18"/>
              </w:rPr>
              <w:t>倡导等项目</w:t>
            </w:r>
            <w:r>
              <w:rPr>
                <w:rFonts w:hint="eastAsia" w:asciiTheme="minorEastAsia" w:hAnsiTheme="minorEastAsia" w:eastAsiaTheme="minorEastAsia"/>
                <w:kern w:val="0"/>
                <w:sz w:val="18"/>
                <w:szCs w:val="18"/>
              </w:rPr>
              <w:t>且受到肯定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表彰和奖励</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基金会及基金会实施的项目是否受到国家媒体、省级媒体的报道和各级政府或政府相关部门的表彰和</w:t>
            </w:r>
            <w:r>
              <w:rPr>
                <w:rFonts w:asciiTheme="minorEastAsia" w:hAnsiTheme="minorEastAsia" w:eastAsiaTheme="minorEastAsia"/>
                <w:kern w:val="0"/>
                <w:sz w:val="18"/>
                <w:szCs w:val="18"/>
              </w:rPr>
              <w:t>奖励</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公益传播</w:t>
            </w:r>
          </w:p>
        </w:tc>
        <w:tc>
          <w:tcPr>
            <w:tcW w:w="4252" w:type="dxa"/>
            <w:tcBorders>
              <w:top w:val="nil"/>
              <w:left w:val="nil"/>
              <w:bottom w:val="single" w:color="auto" w:sz="4" w:space="0"/>
              <w:right w:val="nil"/>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w:t>
            </w:r>
            <w:r>
              <w:rPr>
                <w:rFonts w:asciiTheme="minorEastAsia" w:hAnsiTheme="minorEastAsia" w:eastAsiaTheme="minorEastAsia"/>
                <w:kern w:val="0"/>
                <w:sz w:val="18"/>
                <w:szCs w:val="18"/>
              </w:rPr>
              <w:t>利用各种渠道</w:t>
            </w:r>
            <w:r>
              <w:rPr>
                <w:rFonts w:hint="eastAsia" w:asciiTheme="minorEastAsia" w:hAnsiTheme="minorEastAsia" w:eastAsiaTheme="minorEastAsia"/>
                <w:kern w:val="0"/>
                <w:sz w:val="18"/>
                <w:szCs w:val="18"/>
              </w:rPr>
              <w:t>广泛宣传、普及公益理念</w:t>
            </w:r>
          </w:p>
        </w:tc>
        <w:tc>
          <w:tcPr>
            <w:tcW w:w="99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业务培训</w:t>
            </w:r>
          </w:p>
        </w:tc>
        <w:tc>
          <w:tcPr>
            <w:tcW w:w="4252" w:type="dxa"/>
            <w:tcBorders>
              <w:top w:val="single" w:color="auto" w:sz="4" w:space="0"/>
              <w:left w:val="nil"/>
              <w:bottom w:val="single" w:color="auto" w:sz="4" w:space="0"/>
              <w:right w:val="nil"/>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是否参加民政系统专业定点的社会组织教育培训活动</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业务创新</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是否积极资助并开展创新性强、社会效益和社会影响大的公益项目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党组织活动情况</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党组织活动是否正常（履行“三会一课”等），是否按照上级党委要求开展党建工作</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
    <w:p>
      <w:pPr>
        <w:pStyle w:val="157"/>
        <w:numPr>
          <w:ilvl w:val="0"/>
          <w:numId w:val="22"/>
        </w:numPr>
        <w:ind w:firstLineChars="0"/>
      </w:pPr>
      <w:r>
        <w:rPr>
          <w:rFonts w:hint="eastAsia" w:ascii="黑体" w:hAnsi="黑体" w:eastAsia="黑体" w:cs="宋体"/>
          <w:bCs/>
          <w:kern w:val="0"/>
          <w:szCs w:val="21"/>
        </w:rPr>
        <w:t>财务管理要求</w:t>
      </w:r>
    </w:p>
    <w:p>
      <w:pPr>
        <w:pStyle w:val="157"/>
        <w:ind w:left="360" w:firstLine="0" w:firstLineChars="0"/>
      </w:pPr>
    </w:p>
    <w:tbl>
      <w:tblPr>
        <w:tblStyle w:val="32"/>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经费来源合法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基金会组织募捐、接受捐赠是否符合章程规定的宗旨和业务范围，</w:t>
            </w:r>
            <w:r>
              <w:rPr>
                <w:rFonts w:asciiTheme="minorEastAsia" w:hAnsiTheme="minorEastAsia" w:eastAsiaTheme="minorEastAsia"/>
                <w:kern w:val="0"/>
                <w:sz w:val="18"/>
                <w:szCs w:val="18"/>
              </w:rPr>
              <w:t>来源合法</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4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资金</w:t>
            </w:r>
            <w:r>
              <w:rPr>
                <w:rFonts w:asciiTheme="minorEastAsia" w:hAnsiTheme="minorEastAsia" w:eastAsiaTheme="minorEastAsia"/>
                <w:kern w:val="0"/>
                <w:sz w:val="18"/>
                <w:szCs w:val="18"/>
              </w:rPr>
              <w:t>使用</w:t>
            </w:r>
            <w:r>
              <w:rPr>
                <w:rFonts w:hint="eastAsia" w:asciiTheme="minorEastAsia" w:hAnsiTheme="minorEastAsia" w:eastAsiaTheme="minorEastAsia"/>
                <w:kern w:val="0"/>
                <w:sz w:val="18"/>
                <w:szCs w:val="18"/>
              </w:rPr>
              <w:t>合法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基金会使用财产是否依据章程规定的宗旨和业务范围，用途合法</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募捐</w:t>
            </w:r>
            <w:r>
              <w:rPr>
                <w:rFonts w:hint="eastAsia" w:asciiTheme="minorEastAsia" w:hAnsiTheme="minorEastAsia" w:eastAsiaTheme="minorEastAsia"/>
                <w:kern w:val="0"/>
                <w:sz w:val="18"/>
                <w:szCs w:val="18"/>
              </w:rPr>
              <w:t>资助</w:t>
            </w:r>
            <w:r>
              <w:rPr>
                <w:rFonts w:asciiTheme="minorEastAsia" w:hAnsiTheme="minorEastAsia" w:eastAsiaTheme="minorEastAsia"/>
                <w:kern w:val="0"/>
                <w:sz w:val="18"/>
                <w:szCs w:val="18"/>
              </w:rPr>
              <w:t>规定</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基金会开展公开募捐，是否依法取得公开募捐资格。基金会是</w:t>
            </w:r>
            <w:r>
              <w:rPr>
                <w:rFonts w:asciiTheme="minorEastAsia" w:hAnsiTheme="minorEastAsia" w:eastAsiaTheme="minorEastAsia"/>
                <w:kern w:val="0"/>
                <w:sz w:val="18"/>
                <w:szCs w:val="18"/>
              </w:rPr>
              <w:t>否有</w:t>
            </w:r>
            <w:r>
              <w:rPr>
                <w:rFonts w:hint="eastAsia" w:asciiTheme="minorEastAsia" w:hAnsiTheme="minorEastAsia" w:eastAsiaTheme="minorEastAsia"/>
                <w:kern w:val="0"/>
                <w:sz w:val="18"/>
                <w:szCs w:val="18"/>
              </w:rPr>
              <w:t>资助与公益慈善目的无关的营利性活动。</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98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基金会银行账户开立、使用和管理是否符合法律法规规章及规范性文件等规定。基金会的财产是否利用任何个人和其他组织的账户存储。</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7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专项基金是否在基金会授权的范围内，使用冠有所属基金会名称的规范全称开展活动。专项基金的全部收支是否纳入基金会财务统一核算。</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681"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基金会开展公益慈善活动的年度支出和管理费用的标准，是否符合国家有关规定。</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4"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基金会开展保值增值活动，是否遵守合法、安全、有效的原则，是否确立投资风险控制机制。</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024"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财务管理制度</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基金会是否执行国家统一的会计制度，建立健全内部会计监督制度，</w:t>
            </w:r>
            <w:r>
              <w:rPr>
                <w:rFonts w:asciiTheme="minorEastAsia" w:hAnsiTheme="minorEastAsia" w:eastAsiaTheme="minorEastAsia"/>
                <w:kern w:val="0"/>
                <w:sz w:val="18"/>
                <w:szCs w:val="18"/>
              </w:rPr>
              <w:t>并严格</w:t>
            </w:r>
            <w:r>
              <w:rPr>
                <w:rFonts w:hint="eastAsia" w:asciiTheme="minorEastAsia" w:hAnsiTheme="minorEastAsia" w:eastAsiaTheme="minorEastAsia"/>
                <w:kern w:val="0"/>
                <w:sz w:val="18"/>
                <w:szCs w:val="18"/>
              </w:rPr>
              <w:t>执行。基金会除法定的会计账簿外，不得另立会计账簿。</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6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会计核算</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基金会是否执行《民间非营利组织会计制度》，依法进行会计核算。是否对会计核算基础工作加强管理，所附原始凭证、填制记账凭证、登记账簿、编制会计报表是否规范。</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2"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资产管理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基金会的年末净资产是否低于登记时注册资金最低标准。</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4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基金会是否建立严格的财务授权批准制度，明确审批的授权方式、权限、程序、责任和相关控制措施，是否执行到位。</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4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基金会的财产和其他合法收入是否</w:t>
            </w:r>
            <w:r>
              <w:rPr>
                <w:rFonts w:asciiTheme="minorEastAsia" w:hAnsiTheme="minorEastAsia" w:eastAsiaTheme="minorEastAsia"/>
                <w:kern w:val="0"/>
                <w:sz w:val="18"/>
                <w:szCs w:val="18"/>
              </w:rPr>
              <w:t>有</w:t>
            </w:r>
            <w:r>
              <w:rPr>
                <w:rFonts w:hint="eastAsia" w:asciiTheme="minorEastAsia" w:hAnsiTheme="minorEastAsia" w:eastAsiaTheme="minorEastAsia"/>
                <w:kern w:val="0"/>
                <w:sz w:val="18"/>
                <w:szCs w:val="18"/>
              </w:rPr>
              <w:t>在发起人、捐赠人、理事、监事和工作人员中分配。任何组织和个人是否</w:t>
            </w:r>
            <w:r>
              <w:rPr>
                <w:rFonts w:asciiTheme="minorEastAsia" w:hAnsiTheme="minorEastAsia" w:eastAsiaTheme="minorEastAsia"/>
                <w:kern w:val="0"/>
                <w:sz w:val="18"/>
                <w:szCs w:val="18"/>
              </w:rPr>
              <w:t>有</w:t>
            </w:r>
            <w:r>
              <w:rPr>
                <w:rFonts w:hint="eastAsia" w:asciiTheme="minorEastAsia" w:hAnsiTheme="minorEastAsia" w:eastAsiaTheme="minorEastAsia"/>
                <w:kern w:val="0"/>
                <w:sz w:val="18"/>
                <w:szCs w:val="18"/>
              </w:rPr>
              <w:t>私分、挪用、截留、侵占基金会财产的</w:t>
            </w:r>
            <w:r>
              <w:rPr>
                <w:rFonts w:asciiTheme="minorEastAsia" w:hAnsiTheme="minorEastAsia" w:eastAsiaTheme="minorEastAsia"/>
                <w:kern w:val="0"/>
                <w:sz w:val="18"/>
                <w:szCs w:val="18"/>
              </w:rPr>
              <w:t>行为</w:t>
            </w:r>
            <w:r>
              <w:rPr>
                <w:rFonts w:hint="eastAsia" w:asciiTheme="minorEastAsia" w:hAnsiTheme="minorEastAsia" w:eastAsiaTheme="minorEastAsia"/>
                <w:kern w:val="0"/>
                <w:sz w:val="18"/>
                <w:szCs w:val="18"/>
              </w:rPr>
              <w:t>。</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983"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基金会的各类资产的购置和处置是否履行严格的审批程序，资产是否建立登记管理台账。</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140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税务管理</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基金会是否按税收法律及相关规定进行各种税项的申报和缴纳。基金会是否根据财政部、国家税务总局规定申请减免征税的资格，到税务主管部门申请办理免税资格。个人所得是否依法办理纳税申报。</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129"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票据管理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是否依据规定到票据管理部门申请办理票据领购手续。税务和财政票据是否实行专人管理，是否有领用、使用、核销登记台账</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6"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对相关业务是否使用正规的税务、财政票据</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537"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财务监督</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基金会年度经费收支预决算及执行情况以及重大募捐、投资活动，是否及时向理事会报告。基金会是否主动接受监事会、监事对财务和会计资料的检查监督，并接受捐款人查询、检查和监督。</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62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基金会是否在每一会计年度终了时编制并向登记管理机关报送财务会计报告。具有公开募捐资格的基金会的财务会计报告是否经审计。</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194"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基金会在换届和更换法定代表人之前，是否委托会计师事务所进行财务审计。</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194"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基金会是否聘请会计师事务所对本单位的财务会计报告及相关信息进行年度审计，是否依法披露财务会计报告和审计报告，接受社会公众监督。</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CellMar>
            <w:top w:w="0" w:type="dxa"/>
            <w:left w:w="108" w:type="dxa"/>
            <w:bottom w:w="0" w:type="dxa"/>
            <w:right w:w="108" w:type="dxa"/>
          </w:tblCellMar>
        </w:tblPrEx>
        <w:trPr>
          <w:trHeight w:val="215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财务人员</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会人员是否按规定实行会计、出纳分设，是否持从业资格证上岗，并有严格的岗位职责，是否做到分工明确；未设置专门财会人员的，是否委托有资质的代理记账中介机构进行代理记账工作，并经理事会会议审议</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40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会计档案管理</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是否建立规范的档案管理制度，会计人员调动时，是否办理对财务资料交接手续，是否加强</w:t>
            </w:r>
            <w:r>
              <w:rPr>
                <w:rFonts w:asciiTheme="minorEastAsia" w:hAnsiTheme="minorEastAsia" w:eastAsiaTheme="minorEastAsia"/>
                <w:kern w:val="0"/>
                <w:sz w:val="18"/>
                <w:szCs w:val="18"/>
              </w:rPr>
              <w:t>对</w:t>
            </w:r>
            <w:r>
              <w:rPr>
                <w:rFonts w:hint="eastAsia" w:asciiTheme="minorEastAsia" w:hAnsiTheme="minorEastAsia" w:eastAsiaTheme="minorEastAsia"/>
                <w:kern w:val="0"/>
                <w:sz w:val="18"/>
                <w:szCs w:val="18"/>
              </w:rPr>
              <w:t>会计档案的管理</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收入状况</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年度捐赠收入是否稳定或持续增长</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支出状况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年度公益支出是否保持稳定或持续增长</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pStyle w:val="157"/>
        <w:ind w:left="360" w:firstLine="0" w:firstLineChars="0"/>
        <w:rPr>
          <w:rFonts w:ascii="黑体" w:hAnsi="黑体" w:eastAsia="黑体" w:cs="宋体"/>
          <w:bCs/>
          <w:kern w:val="0"/>
          <w:szCs w:val="21"/>
        </w:rPr>
      </w:pPr>
    </w:p>
    <w:p>
      <w:pPr>
        <w:pStyle w:val="157"/>
        <w:numPr>
          <w:ilvl w:val="0"/>
          <w:numId w:val="21"/>
        </w:numPr>
        <w:ind w:firstLineChars="0"/>
        <w:rPr>
          <w:rFonts w:ascii="黑体" w:hAnsi="黑体" w:eastAsia="黑体" w:cs="宋体"/>
          <w:bCs/>
          <w:kern w:val="0"/>
          <w:szCs w:val="21"/>
        </w:rPr>
      </w:pPr>
      <w:r>
        <w:rPr>
          <w:rFonts w:hint="eastAsia" w:ascii="黑体" w:hAnsi="黑体" w:eastAsia="黑体" w:cs="宋体"/>
          <w:bCs/>
          <w:kern w:val="0"/>
          <w:szCs w:val="21"/>
        </w:rPr>
        <w:t>信息公开要求</w:t>
      </w:r>
    </w:p>
    <w:p>
      <w:pPr>
        <w:pStyle w:val="157"/>
        <w:ind w:left="360" w:firstLine="0" w:firstLineChars="0"/>
      </w:pPr>
    </w:p>
    <w:tbl>
      <w:tblPr>
        <w:tblStyle w:val="32"/>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CellMar>
            <w:top w:w="0" w:type="dxa"/>
            <w:left w:w="108" w:type="dxa"/>
            <w:bottom w:w="0" w:type="dxa"/>
            <w:right w:w="108" w:type="dxa"/>
          </w:tblCellMar>
        </w:tblPrEx>
        <w:trPr>
          <w:trHeight w:val="70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CellMar>
            <w:top w:w="0" w:type="dxa"/>
            <w:left w:w="108" w:type="dxa"/>
            <w:bottom w:w="0" w:type="dxa"/>
            <w:right w:w="108" w:type="dxa"/>
          </w:tblCellMar>
        </w:tblPrEx>
        <w:trPr>
          <w:trHeight w:val="1308"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信息公开管理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是否建立健全信息公开管理制度，依法履行信息公开义务。信息公开是否真实、完整、及时，便于公众获取，是否有虚假记载、误导性陈述或者重大遗漏</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是否有指定专人负责处理信息公布的有关事务，及时公开信息，频次符合管理要求</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对于已经公开的信息，是否制作信息公开档案，妥善保管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信息公开内容</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基金会捐赠给受助人及资助受助人的项目内容是否及时公开（慈善项目实施周期超过六个月的，至少每三个月公开一次项目实施情况，项目结束后三个月内应当全面公开项目实施情况和募得款物使用情况）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84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组织机构内容是否及时公开(内容包括：登记事项、是否具有公开募捐资格、章程、决策执行监督机构成员信息、专项基金等分支机构信息；是否具有慈善信托备案项目、是否具有公益性捐赠税前扣除票据资格、是否享受税收优惠及资助补贴、是否具有承接政府转移职能、授权、委托和购买服务事项的情况、是否具有行政许可事项、接受检查及评估的情况、是否有表彰及处罚情况；涉及社会公共利益的内部管理制度。具有公开募捐资格的基金会是否有向社会公开其重大债权、债务和重大保值增值活动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接受捐赠和募集资金的情况是否及时公开（具有公开募捐资格的基金会，公开募捐周期超过六个月的，至少每三个月公开一次募捐情况，公开募捐活动结束后三个月内应当全面公开募捐情况）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68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具有公开募捐资格的基金会开展公开募捐活动，是否在登记管理机关统一的信息平台、募捐活动现场或者募捐活动载体的显著位置，公布募捐资格证书、募捐方案、联系方式、募捐信息查询方法等，并定期向社会公开其募捐情况和慈善项目实施情况。</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方便信息查阅</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信息内容是否全面公布并方便查阅，保证捐赠人、受益人和社会公众能够方便快捷地查阅、询问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捐赠人及公众质疑回应</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是否及时回应捐赠人和公众质疑</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向捐赠人告知信息</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是否建立向捐赠人公布信息的机制和模式，是否根据项目开展情况及时向捐赠人公布项目资金的使用情况和项目成效（慈善组织开展定向募捐的，应当及时向捐赠人告知募捐情况、募得款物的管理使用情况）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向项目受益人告知信息</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是否向受益人告知其资助标准、工作流程和工作规范等信息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在办公场所信息公开</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是否在办公场所</w:t>
            </w:r>
            <w:r>
              <w:rPr>
                <w:rFonts w:asciiTheme="minorEastAsia" w:hAnsiTheme="minorEastAsia" w:eastAsiaTheme="minorEastAsia"/>
                <w:kern w:val="0"/>
                <w:sz w:val="18"/>
                <w:szCs w:val="18"/>
              </w:rPr>
              <w:t>和</w:t>
            </w:r>
            <w:r>
              <w:rPr>
                <w:rFonts w:hint="eastAsia" w:asciiTheme="minorEastAsia" w:hAnsiTheme="minorEastAsia" w:eastAsiaTheme="minorEastAsia"/>
                <w:kern w:val="0"/>
                <w:sz w:val="18"/>
                <w:szCs w:val="18"/>
              </w:rPr>
              <w:t>服务场所公开机构信息及服务信息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渠道多元化</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信息建设平台是否多样，信息公开渠道是否丰富</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6256"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年报情况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规定向登记管理机关编制并报送年报和财务会计报告，年报和财务会计报告内容是否真实。年度报告或财务会计报告需修改的，是否重新报送并书面说明修改理由，并向社会公开。（年度工作报告内容包括：一、登记事项、网址和联系电话等基本信息；二接受捐赠以及大额捐赠情况、公开募捐情况、公益慈善活动支出和管理费用情况、实施慈善项目情况、财产管理情况、保值增值情况、关联方关系及交易情况、承接政府购买服务情况、工作人员工资福利情况等业务活动情况；三、理事、监事、工作人员信息以及领取报酬情况，理事会召开和决策情况，专项基金等机构建设情况；四、注册会计师审计报告；五、接收检查和评估的结果，收到表彰、处罚的情况，获得公益性捐赠税前扣除资格、有关税收优惠资格等情况；六、监事意见；七、履行信息公开义务的情况；八、登记管理机关要求的其他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266"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报送年报和财务会计报告后或重新报送修改后的年报和财务会计报告后，是否将年报和财务会计报告公布在登记管理机关指定的媒体上，接受公众查询、监督</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63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编制和报送年报资料时是否按照要求真实准确填写《党建情况表》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不得公开事项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是否公开了涉及国家秘密、商业秘密、个人隐私的信息以及捐赠人、慈善信托的委托人不同意公开的姓名、名称、住所、通讯方式等信息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CellMar>
            <w:top w:w="0" w:type="dxa"/>
            <w:left w:w="108" w:type="dxa"/>
            <w:bottom w:w="0" w:type="dxa"/>
            <w:right w:w="108" w:type="dxa"/>
          </w:tblCellMar>
        </w:tblPrEx>
        <w:trPr>
          <w:trHeight w:val="70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rPr>
          <w:rFonts w:ascii="黑体" w:hAnsi="黑体" w:eastAsia="黑体"/>
          <w:bCs/>
          <w:kern w:val="0"/>
          <w:szCs w:val="21"/>
        </w:rPr>
      </w:pPr>
      <w:r>
        <w:rPr>
          <w:rFonts w:hint="eastAsia" w:ascii="黑体" w:hAnsi="黑体" w:eastAsia="黑体"/>
          <w:bCs/>
          <w:kern w:val="0"/>
          <w:szCs w:val="21"/>
        </w:rPr>
        <w:t>被</w:t>
      </w:r>
      <w:r>
        <w:rPr>
          <w:rFonts w:ascii="黑体" w:hAnsi="黑体" w:eastAsia="黑体"/>
          <w:bCs/>
          <w:kern w:val="0"/>
          <w:szCs w:val="21"/>
        </w:rPr>
        <w:t>考评社会组织签名：</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日期</w:t>
      </w:r>
      <w:r>
        <w:rPr>
          <w:rFonts w:ascii="黑体" w:hAnsi="黑体" w:eastAsia="黑体"/>
          <w:bCs/>
          <w:kern w:val="0"/>
          <w:szCs w:val="21"/>
        </w:rPr>
        <w:t>：</w:t>
      </w:r>
    </w:p>
    <w:p/>
    <w:p/>
    <w:p/>
    <w:p/>
    <w:p/>
    <w:p/>
    <w:p/>
    <w:p/>
    <w:tbl>
      <w:tblPr>
        <w:tblStyle w:val="32"/>
        <w:tblW w:w="8946" w:type="dxa"/>
        <w:tblInd w:w="93" w:type="dxa"/>
        <w:tblLayout w:type="fixed"/>
        <w:tblCellMar>
          <w:top w:w="0" w:type="dxa"/>
          <w:left w:w="108" w:type="dxa"/>
          <w:bottom w:w="0" w:type="dxa"/>
          <w:right w:w="108" w:type="dxa"/>
        </w:tblCellMar>
      </w:tblPr>
      <w:tblGrid>
        <w:gridCol w:w="8946"/>
      </w:tblGrid>
      <w:tr>
        <w:tblPrEx>
          <w:tblCellMar>
            <w:top w:w="0" w:type="dxa"/>
            <w:left w:w="108" w:type="dxa"/>
            <w:bottom w:w="0" w:type="dxa"/>
            <w:right w:w="108" w:type="dxa"/>
          </w:tblCellMar>
        </w:tblPrEx>
        <w:trPr>
          <w:trHeight w:val="930" w:hRule="atLeast"/>
        </w:trPr>
        <w:tc>
          <w:tcPr>
            <w:tcW w:w="8946" w:type="dxa"/>
            <w:tcBorders>
              <w:top w:val="nil"/>
              <w:left w:val="nil"/>
              <w:bottom w:val="nil"/>
              <w:right w:val="nil"/>
            </w:tcBorders>
            <w:shd w:val="clear" w:color="auto" w:fill="auto"/>
            <w:vAlign w:val="center"/>
          </w:tcPr>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ascii="黑体" w:hAnsi="黑体" w:eastAsia="黑体"/>
                <w:bCs/>
                <w:kern w:val="0"/>
                <w:szCs w:val="21"/>
              </w:rPr>
            </w:pPr>
          </w:p>
          <w:p>
            <w:pPr>
              <w:keepNext/>
              <w:widowControl/>
              <w:shd w:val="clear" w:color="auto" w:fill="FFFFFF"/>
              <w:ind w:left="720"/>
              <w:outlineLvl w:val="0"/>
              <w:rPr>
                <w:rFonts w:ascii="黑体" w:eastAsia="黑体"/>
                <w:kern w:val="0"/>
                <w:szCs w:val="21"/>
              </w:rPr>
            </w:pPr>
            <w:bookmarkStart w:id="150" w:name="_Toc478734667"/>
            <w:r>
              <w:rPr>
                <w:rFonts w:hint="eastAsia" w:ascii="黑体" w:eastAsia="黑体"/>
                <w:kern w:val="0"/>
                <w:szCs w:val="21"/>
              </w:rPr>
              <w:t xml:space="preserve">                                附录D</w:t>
            </w:r>
            <w:bookmarkEnd w:id="150"/>
          </w:p>
          <w:p>
            <w:pPr>
              <w:widowControl/>
              <w:jc w:val="center"/>
              <w:rPr>
                <w:rFonts w:ascii="黑体" w:hAnsi="黑体" w:eastAsia="黑体"/>
                <w:bCs/>
                <w:kern w:val="0"/>
                <w:szCs w:val="21"/>
              </w:rPr>
            </w:pPr>
            <w:r>
              <w:rPr>
                <w:rFonts w:hint="eastAsia" w:ascii="黑体" w:hAnsi="黑体" w:eastAsia="黑体"/>
                <w:bCs/>
                <w:kern w:val="0"/>
                <w:szCs w:val="21"/>
              </w:rPr>
              <w:t>（规范附录）</w:t>
            </w:r>
          </w:p>
          <w:p>
            <w:pPr>
              <w:widowControl/>
              <w:jc w:val="center"/>
              <w:rPr>
                <w:rFonts w:ascii="黑体" w:hAnsi="黑体" w:eastAsia="黑体"/>
                <w:b/>
                <w:bCs/>
                <w:kern w:val="0"/>
                <w:szCs w:val="21"/>
              </w:rPr>
            </w:pPr>
            <w:r>
              <w:rPr>
                <w:rFonts w:hint="eastAsia" w:ascii="黑体" w:hAnsi="黑体" w:eastAsia="黑体"/>
                <w:b/>
                <w:bCs/>
                <w:kern w:val="0"/>
                <w:szCs w:val="21"/>
              </w:rPr>
              <w:t>行业协会评估指标评分表</w:t>
            </w:r>
          </w:p>
          <w:p>
            <w:pPr>
              <w:widowControl/>
              <w:jc w:val="center"/>
              <w:rPr>
                <w:rFonts w:ascii="黑体" w:hAnsi="黑体" w:eastAsia="黑体"/>
                <w:b/>
                <w:bCs/>
                <w:kern w:val="0"/>
                <w:szCs w:val="21"/>
              </w:rPr>
            </w:pPr>
          </w:p>
          <w:p>
            <w:pPr>
              <w:widowControl/>
              <w:rPr>
                <w:rFonts w:ascii="黑体" w:hAnsi="黑体" w:eastAsia="黑体"/>
                <w:bCs/>
                <w:kern w:val="0"/>
                <w:szCs w:val="21"/>
              </w:rPr>
            </w:pPr>
            <w:r>
              <w:rPr>
                <w:rFonts w:hint="eastAsia" w:ascii="黑体" w:hAnsi="黑体" w:eastAsia="黑体"/>
                <w:bCs/>
                <w:kern w:val="0"/>
                <w:szCs w:val="21"/>
              </w:rPr>
              <w:t>考评员姓名：                                  被考评社会组织名称：</w:t>
            </w:r>
          </w:p>
          <w:p>
            <w:pPr>
              <w:widowControl/>
              <w:rPr>
                <w:rFonts w:ascii="黑体" w:hAnsi="黑体" w:eastAsia="黑体"/>
                <w:bCs/>
                <w:kern w:val="0"/>
                <w:szCs w:val="21"/>
              </w:rPr>
            </w:pPr>
          </w:p>
          <w:p>
            <w:pPr>
              <w:widowControl/>
              <w:rPr>
                <w:rFonts w:ascii="黑体" w:hAnsi="黑体" w:eastAsia="黑体"/>
                <w:bCs/>
                <w:kern w:val="0"/>
                <w:szCs w:val="21"/>
              </w:rPr>
            </w:pPr>
          </w:p>
        </w:tc>
      </w:tr>
    </w:tbl>
    <w:p>
      <w:pPr>
        <w:pStyle w:val="157"/>
        <w:numPr>
          <w:ilvl w:val="0"/>
          <w:numId w:val="23"/>
        </w:numPr>
        <w:ind w:firstLineChars="0"/>
        <w:rPr>
          <w:rFonts w:ascii="黑体" w:hAnsi="黑体" w:eastAsia="黑体" w:cs="宋体"/>
          <w:bCs/>
          <w:kern w:val="0"/>
          <w:szCs w:val="21"/>
        </w:rPr>
      </w:pPr>
      <w:r>
        <w:rPr>
          <w:rFonts w:hint="eastAsia" w:ascii="黑体" w:hAnsi="黑体" w:eastAsia="黑体" w:cs="宋体"/>
          <w:bCs/>
          <w:kern w:val="0"/>
          <w:szCs w:val="21"/>
        </w:rPr>
        <w:t>依法登记和接受监管要求</w:t>
      </w:r>
    </w:p>
    <w:p>
      <w:pPr>
        <w:pStyle w:val="157"/>
        <w:ind w:left="360" w:firstLine="0" w:firstLineChars="0"/>
      </w:pPr>
    </w:p>
    <w:tbl>
      <w:tblPr>
        <w:tblStyle w:val="32"/>
        <w:tblW w:w="8647" w:type="dxa"/>
        <w:tblInd w:w="-34" w:type="dxa"/>
        <w:tblLayout w:type="fixed"/>
        <w:tblCellMar>
          <w:top w:w="0" w:type="dxa"/>
          <w:left w:w="108" w:type="dxa"/>
          <w:bottom w:w="0" w:type="dxa"/>
          <w:right w:w="108" w:type="dxa"/>
        </w:tblCellMar>
      </w:tblPr>
      <w:tblGrid>
        <w:gridCol w:w="851"/>
        <w:gridCol w:w="1418"/>
        <w:gridCol w:w="4252"/>
        <w:gridCol w:w="992"/>
        <w:gridCol w:w="1134"/>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639"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登记情况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是否依法登记</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依法纳税</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是否应依法办理税务登记和纳税</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政社分开</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机构、人事和财务是否与国家机关、事业单位分开，是否与国家机关、事业单位合署办公</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办公条件</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是否有固定的住所，且满足办公需要</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是否具备相应的办公设备</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办公场所是否悬挂单位名称牌匾</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履行章程情况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是否按照会员（代表）大会通过并报登记管理机关核准的章程开展工作</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合规管理</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是否有违法行为记录</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变更登记</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登记事项发生变更时，是否在30日内向登记管理机关申请变更登记</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异常活动名录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是否在登记管理机关的异常活动名录中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负责人管理</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行业协会的负责人是否在任职前公示</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79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sz w:val="18"/>
                <w:szCs w:val="18"/>
              </w:rPr>
              <w:t>有以下情形的</w:t>
            </w:r>
            <w:r>
              <w:rPr>
                <w:rFonts w:ascii="宋体" w:hAnsi="宋体"/>
                <w:sz w:val="18"/>
                <w:szCs w:val="18"/>
              </w:rPr>
              <w:t>，</w:t>
            </w:r>
            <w:r>
              <w:rPr>
                <w:rFonts w:hint="eastAsia" w:ascii="宋体" w:hAnsi="宋体"/>
                <w:sz w:val="18"/>
                <w:szCs w:val="18"/>
              </w:rPr>
              <w:t>不得担任行业协会的法定代表人及负责人</w:t>
            </w:r>
            <w:r>
              <w:rPr>
                <w:rFonts w:hint="eastAsia" w:ascii="宋体" w:hAnsi="宋体"/>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法定代表人是否同时担任其他社会团体的法定代表人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负责人是否参与登记管理机关组织的培训活动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bl>
    <w:p>
      <w:pPr>
        <w:pStyle w:val="157"/>
        <w:ind w:left="360" w:firstLine="0" w:firstLineChars="0"/>
      </w:pPr>
    </w:p>
    <w:p>
      <w:pPr>
        <w:pStyle w:val="157"/>
        <w:numPr>
          <w:ilvl w:val="0"/>
          <w:numId w:val="23"/>
        </w:numPr>
        <w:ind w:firstLineChars="0"/>
      </w:pPr>
      <w:r>
        <w:rPr>
          <w:rFonts w:hint="eastAsia" w:ascii="黑体" w:hAnsi="黑体" w:eastAsia="黑体" w:cs="宋体"/>
          <w:bCs/>
          <w:kern w:val="0"/>
          <w:szCs w:val="21"/>
        </w:rPr>
        <w:t>内部治理要求</w:t>
      </w:r>
    </w:p>
    <w:p>
      <w:pPr>
        <w:pStyle w:val="157"/>
        <w:ind w:left="360" w:firstLine="0" w:firstLineChars="0"/>
      </w:pPr>
    </w:p>
    <w:tbl>
      <w:tblPr>
        <w:tblStyle w:val="32"/>
        <w:tblW w:w="8647" w:type="dxa"/>
        <w:tblInd w:w="-34" w:type="dxa"/>
        <w:tblLayout w:type="fixed"/>
        <w:tblCellMar>
          <w:top w:w="0" w:type="dxa"/>
          <w:left w:w="108" w:type="dxa"/>
          <w:bottom w:w="0" w:type="dxa"/>
          <w:right w:w="108" w:type="dxa"/>
        </w:tblCellMar>
      </w:tblPr>
      <w:tblGrid>
        <w:gridCol w:w="851"/>
        <w:gridCol w:w="1418"/>
        <w:gridCol w:w="4252"/>
        <w:gridCol w:w="992"/>
        <w:gridCol w:w="1134"/>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p>
            <w:pPr>
              <w:jc w:val="left"/>
              <w:rPr>
                <w:rFonts w:ascii="宋体" w:hAnsi="宋体"/>
                <w:bCs/>
                <w:kern w:val="0"/>
                <w:sz w:val="18"/>
                <w:szCs w:val="18"/>
              </w:rPr>
            </w:pPr>
            <w:r>
              <w:rPr>
                <w:rFonts w:hint="eastAsia" w:ascii="宋体" w:hAnsi="宋体"/>
                <w:kern w:val="0"/>
                <w:sz w:val="18"/>
                <w:szCs w:val="18"/>
              </w:rPr>
              <w:t xml:space="preserve"> </w:t>
            </w:r>
          </w:p>
        </w:tc>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法人治理结构</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是否依照法规规章规范性</w:t>
            </w:r>
            <w:r>
              <w:rPr>
                <w:rFonts w:ascii="宋体" w:hAnsi="宋体"/>
                <w:kern w:val="0"/>
                <w:sz w:val="18"/>
                <w:szCs w:val="18"/>
              </w:rPr>
              <w:t>文件</w:t>
            </w:r>
            <w:r>
              <w:rPr>
                <w:rFonts w:hint="eastAsia" w:ascii="宋体" w:hAnsi="宋体"/>
                <w:kern w:val="0"/>
                <w:sz w:val="18"/>
                <w:szCs w:val="18"/>
              </w:rPr>
              <w:t>政策和章程建立健全法人治理结构和运行机制</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shd w:val="clear" w:color="auto" w:fill="auto"/>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会员（代表）大会</w:t>
            </w:r>
          </w:p>
        </w:tc>
        <w:tc>
          <w:tcPr>
            <w:tcW w:w="4252" w:type="dxa"/>
            <w:tcBorders>
              <w:top w:val="nil"/>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是否按法规规章规范性</w:t>
            </w:r>
            <w:r>
              <w:rPr>
                <w:rFonts w:ascii="宋体" w:hAnsi="宋体"/>
                <w:kern w:val="0"/>
                <w:sz w:val="18"/>
                <w:szCs w:val="18"/>
              </w:rPr>
              <w:t>文件</w:t>
            </w:r>
            <w:r>
              <w:rPr>
                <w:rFonts w:hint="eastAsia" w:ascii="宋体" w:hAnsi="宋体"/>
                <w:kern w:val="0"/>
                <w:sz w:val="18"/>
                <w:szCs w:val="18"/>
              </w:rPr>
              <w:t>和章程规定的时限、条件和程序</w:t>
            </w:r>
            <w:r>
              <w:rPr>
                <w:rFonts w:hint="eastAsia" w:ascii="宋体" w:hAnsi="宋体"/>
                <w:sz w:val="18"/>
                <w:szCs w:val="18"/>
              </w:rPr>
              <w:t>召开会员代表大会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理事会</w:t>
            </w:r>
          </w:p>
        </w:tc>
        <w:tc>
          <w:tcPr>
            <w:tcW w:w="4252" w:type="dxa"/>
            <w:tcBorders>
              <w:top w:val="single" w:color="auto" w:sz="4" w:space="0"/>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按照章程规定设立理事会。是否按照章程规定的时限、条件和程序召开理事会。理事会作用是否发挥良好。</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监事、监事会</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按照章程规定设立监事会、监事。是否按照章程规定的时限、条件和程序召开监事会，监事会、监事是否履行职责并</w:t>
            </w:r>
            <w:r>
              <w:rPr>
                <w:rFonts w:ascii="宋体" w:hAnsi="宋体"/>
                <w:sz w:val="18"/>
                <w:szCs w:val="18"/>
              </w:rPr>
              <w:t>发挥作用</w:t>
            </w:r>
            <w:r>
              <w:rPr>
                <w:rFonts w:hint="eastAsia" w:ascii="宋体" w:hAnsi="宋体"/>
                <w:sz w:val="18"/>
                <w:szCs w:val="18"/>
              </w:rPr>
              <w:t>。</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内部监督机制</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建立健全内部监督机制，落实民主选举、民主决策和民主管理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负责人任职</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理事长</w:t>
            </w:r>
            <w:r>
              <w:rPr>
                <w:rFonts w:ascii="宋体" w:hAnsi="宋体"/>
                <w:kern w:val="0"/>
                <w:sz w:val="18"/>
                <w:szCs w:val="18"/>
              </w:rPr>
              <w:t>（</w:t>
            </w:r>
            <w:r>
              <w:rPr>
                <w:rFonts w:hint="eastAsia" w:ascii="宋体" w:hAnsi="宋体"/>
                <w:kern w:val="0"/>
                <w:sz w:val="18"/>
                <w:szCs w:val="18"/>
              </w:rPr>
              <w:t>会长）、副理事长</w:t>
            </w:r>
            <w:r>
              <w:rPr>
                <w:rFonts w:ascii="宋体" w:hAnsi="宋体"/>
                <w:kern w:val="0"/>
                <w:sz w:val="18"/>
                <w:szCs w:val="18"/>
              </w:rPr>
              <w:t>（</w:t>
            </w:r>
            <w:r>
              <w:rPr>
                <w:rFonts w:hint="eastAsia" w:ascii="宋体" w:hAnsi="宋体"/>
                <w:kern w:val="0"/>
                <w:sz w:val="18"/>
                <w:szCs w:val="18"/>
              </w:rPr>
              <w:t>副会长）、理事、监事等任职条件、产生程序和职责履行是否符合章程的规定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秘书长是否由专人专职担任，理事会是否对其进行年度绩效考核，考核是否合格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章程制定修改</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章程制定修改是否报理事会通过，再报会员（代表）大会表决，再报登记管理机关批准生效</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组织机构运行</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会员(代表）大会的职权和运行是否符合章程的规定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理事会的职权和运行是否符合章程的规定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监事会的职权和运行是否符合章程的规定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秘书处的职权和运行是否符合章程的规定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573"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党建工作</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sz w:val="18"/>
                <w:szCs w:val="18"/>
              </w:rPr>
              <w:t>党</w:t>
            </w:r>
            <w:r>
              <w:rPr>
                <w:rFonts w:ascii="宋体" w:hAnsi="宋体"/>
                <w:sz w:val="18"/>
                <w:szCs w:val="18"/>
              </w:rPr>
              <w:t>组织</w:t>
            </w:r>
            <w:r>
              <w:rPr>
                <w:rFonts w:hint="eastAsia" w:ascii="宋体" w:hAnsi="宋体"/>
                <w:sz w:val="18"/>
                <w:szCs w:val="18"/>
              </w:rPr>
              <w:t>是否参与</w:t>
            </w:r>
            <w:r>
              <w:rPr>
                <w:rFonts w:ascii="宋体" w:hAnsi="宋体"/>
                <w:sz w:val="18"/>
                <w:szCs w:val="18"/>
              </w:rPr>
              <w:t>行业协会重大问题决策</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86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工作人员管理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国家机关工作人员、按照有关规定不得担任行业</w:t>
            </w:r>
            <w:r>
              <w:rPr>
                <w:rFonts w:ascii="宋体" w:hAnsi="宋体"/>
                <w:kern w:val="0"/>
                <w:sz w:val="18"/>
                <w:szCs w:val="18"/>
              </w:rPr>
              <w:t>协会</w:t>
            </w:r>
            <w:r>
              <w:rPr>
                <w:rFonts w:hint="eastAsia" w:ascii="宋体" w:hAnsi="宋体"/>
                <w:kern w:val="0"/>
                <w:sz w:val="18"/>
                <w:szCs w:val="18"/>
              </w:rPr>
              <w:t>领导职务的人员，是否在行业协会任职；会长是否兼任秘书长</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是否有与业务活动相适应的专职工作人员</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人力资源管理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专职工作团队是否保持稳定或持续增长</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是否有制定并执行工作人员聘用、任职</w:t>
            </w:r>
            <w:r>
              <w:rPr>
                <w:rFonts w:ascii="宋体" w:hAnsi="宋体"/>
                <w:kern w:val="0"/>
                <w:sz w:val="18"/>
                <w:szCs w:val="18"/>
              </w:rPr>
              <w:t>、</w:t>
            </w:r>
            <w:r>
              <w:rPr>
                <w:rFonts w:hint="eastAsia" w:ascii="宋体" w:hAnsi="宋体"/>
                <w:kern w:val="0"/>
                <w:sz w:val="18"/>
                <w:szCs w:val="18"/>
              </w:rPr>
              <w:t>考核、奖惩和薪酬制度</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档案、证书、印章管理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是否有建立档案、证书、印章管理制度</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266"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管理创新</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是否实行科学化管理手段，以完善和优化服务为目标，创新管理模式和服务模式</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诚信自律建设</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加强自身诚信自律建设，建立本行业</w:t>
            </w:r>
            <w:r>
              <w:rPr>
                <w:rFonts w:ascii="宋体" w:hAnsi="宋体"/>
                <w:sz w:val="18"/>
                <w:szCs w:val="18"/>
              </w:rPr>
              <w:t>协会的</w:t>
            </w:r>
            <w:r>
              <w:rPr>
                <w:rFonts w:hint="eastAsia" w:ascii="宋体" w:hAnsi="宋体"/>
                <w:sz w:val="18"/>
                <w:szCs w:val="18"/>
              </w:rPr>
              <w:t>诚信承诺制度。是否建立活动影响评估机制，对可能引发社会风险的行业内</w:t>
            </w:r>
            <w:r>
              <w:rPr>
                <w:rFonts w:ascii="宋体" w:hAnsi="宋体"/>
                <w:sz w:val="18"/>
                <w:szCs w:val="18"/>
              </w:rPr>
              <w:t>的</w:t>
            </w:r>
            <w:r>
              <w:rPr>
                <w:rFonts w:hint="eastAsia" w:ascii="宋体" w:hAnsi="宋体"/>
                <w:sz w:val="18"/>
                <w:szCs w:val="18"/>
              </w:rPr>
              <w:t>重要事项事先向政府有关部门报告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ind w:left="360" w:firstLine="0" w:firstLineChars="0"/>
      </w:pPr>
    </w:p>
    <w:p>
      <w:pPr>
        <w:pStyle w:val="157"/>
        <w:numPr>
          <w:ilvl w:val="0"/>
          <w:numId w:val="23"/>
        </w:numPr>
        <w:ind w:firstLineChars="0"/>
      </w:pPr>
      <w:r>
        <w:rPr>
          <w:rFonts w:hint="eastAsia" w:ascii="黑体" w:hAnsi="黑体" w:eastAsia="黑体" w:cs="宋体"/>
          <w:bCs/>
          <w:kern w:val="0"/>
          <w:szCs w:val="21"/>
        </w:rPr>
        <w:t>业务活动要求</w:t>
      </w:r>
    </w:p>
    <w:p>
      <w:pPr>
        <w:pStyle w:val="157"/>
        <w:ind w:left="360" w:firstLine="0" w:firstLineChars="0"/>
      </w:pPr>
    </w:p>
    <w:tbl>
      <w:tblPr>
        <w:tblStyle w:val="32"/>
        <w:tblW w:w="8647" w:type="dxa"/>
        <w:tblInd w:w="-34" w:type="dxa"/>
        <w:tblLayout w:type="fixed"/>
        <w:tblCellMar>
          <w:top w:w="0" w:type="dxa"/>
          <w:left w:w="108" w:type="dxa"/>
          <w:bottom w:w="0" w:type="dxa"/>
          <w:right w:w="108" w:type="dxa"/>
        </w:tblCellMar>
      </w:tblPr>
      <w:tblGrid>
        <w:gridCol w:w="851"/>
        <w:gridCol w:w="1418"/>
        <w:gridCol w:w="4252"/>
        <w:gridCol w:w="992"/>
        <w:gridCol w:w="1134"/>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业务合规</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w:t>
            </w:r>
            <w:r>
              <w:rPr>
                <w:rFonts w:ascii="宋体" w:hAnsi="宋体"/>
                <w:kern w:val="0"/>
                <w:sz w:val="18"/>
                <w:szCs w:val="18"/>
              </w:rPr>
              <w:t>并</w:t>
            </w:r>
            <w:r>
              <w:rPr>
                <w:rFonts w:hint="eastAsia" w:ascii="宋体" w:hAnsi="宋体"/>
                <w:kern w:val="0"/>
                <w:sz w:val="18"/>
                <w:szCs w:val="18"/>
              </w:rPr>
              <w:t>按照章程的规定开展活动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发展规划</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是否有制定和实施中长期发展规划（3年及以上）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年度计划</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是否根据会员（代表）大会、理事会的决议要求，完成年度业务工作计划，逐年提交年度工作报告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会员服务</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会员数量是否达到法定的最低数额</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是否建立会员数据库，是否明确会员资格及其权利、义务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会员是否履行义务，</w:t>
            </w:r>
            <w:r>
              <w:rPr>
                <w:rFonts w:ascii="宋体" w:hAnsi="宋体"/>
                <w:kern w:val="0"/>
                <w:sz w:val="18"/>
                <w:szCs w:val="18"/>
              </w:rPr>
              <w:t>有</w:t>
            </w:r>
            <w:r>
              <w:rPr>
                <w:rFonts w:hint="eastAsia" w:ascii="宋体" w:hAnsi="宋体"/>
                <w:kern w:val="0"/>
                <w:sz w:val="18"/>
                <w:szCs w:val="18"/>
              </w:rPr>
              <w:t>按期缴纳会费等</w:t>
            </w:r>
            <w:r>
              <w:rPr>
                <w:rFonts w:ascii="宋体" w:hAnsi="宋体"/>
                <w:kern w:val="0"/>
                <w:sz w:val="18"/>
                <w:szCs w:val="18"/>
              </w:rPr>
              <w:t>行动支持协会发展</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活动开展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积极开展活动，</w:t>
            </w:r>
            <w:r>
              <w:rPr>
                <w:rFonts w:ascii="宋体" w:hAnsi="宋体"/>
                <w:sz w:val="18"/>
                <w:szCs w:val="18"/>
              </w:rPr>
              <w:t>如</w:t>
            </w:r>
            <w:r>
              <w:rPr>
                <w:rFonts w:hint="eastAsia" w:ascii="宋体" w:hAnsi="宋体"/>
                <w:sz w:val="18"/>
                <w:szCs w:val="18"/>
              </w:rPr>
              <w:t>参观、考察、研讨、洽谈、培训、联谊等，是否</w:t>
            </w:r>
            <w:r>
              <w:rPr>
                <w:rFonts w:ascii="宋体" w:hAnsi="宋体"/>
                <w:sz w:val="18"/>
                <w:szCs w:val="18"/>
              </w:rPr>
              <w:t>形成</w:t>
            </w:r>
            <w:r>
              <w:rPr>
                <w:rFonts w:hint="eastAsia" w:ascii="宋体" w:hAnsi="宋体"/>
                <w:sz w:val="18"/>
                <w:szCs w:val="18"/>
              </w:rPr>
              <w:t>常规</w:t>
            </w:r>
            <w:r>
              <w:rPr>
                <w:rFonts w:ascii="宋体" w:hAnsi="宋体"/>
                <w:sz w:val="18"/>
                <w:szCs w:val="18"/>
              </w:rPr>
              <w:t>业务</w:t>
            </w:r>
            <w:r>
              <w:rPr>
                <w:rFonts w:hint="eastAsia" w:ascii="宋体" w:hAnsi="宋体"/>
                <w:sz w:val="18"/>
                <w:szCs w:val="18"/>
              </w:rPr>
              <w:t>，是否有特色品牌活动（如展会等）</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政府资助</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是否有获得政府资助或政府购买服务项目，</w:t>
            </w:r>
            <w:r>
              <w:rPr>
                <w:rFonts w:ascii="宋体" w:hAnsi="宋体"/>
                <w:kern w:val="0"/>
                <w:sz w:val="18"/>
                <w:szCs w:val="18"/>
              </w:rPr>
              <w:t>项目是否</w:t>
            </w:r>
            <w:r>
              <w:rPr>
                <w:rFonts w:hint="eastAsia" w:ascii="宋体" w:hAnsi="宋体"/>
                <w:kern w:val="0"/>
                <w:sz w:val="18"/>
                <w:szCs w:val="18"/>
              </w:rPr>
              <w:t>执行</w:t>
            </w:r>
            <w:r>
              <w:rPr>
                <w:rFonts w:ascii="宋体" w:hAnsi="宋体"/>
                <w:kern w:val="0"/>
                <w:sz w:val="18"/>
                <w:szCs w:val="18"/>
              </w:rPr>
              <w:t>良好</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211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职能履行</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是否提供</w:t>
            </w:r>
            <w:r>
              <w:rPr>
                <w:rFonts w:ascii="宋体" w:hAnsi="宋体"/>
                <w:kern w:val="0"/>
                <w:sz w:val="18"/>
                <w:szCs w:val="18"/>
              </w:rPr>
              <w:t>和</w:t>
            </w:r>
            <w:r>
              <w:rPr>
                <w:rFonts w:hint="eastAsia" w:ascii="宋体" w:hAnsi="宋体"/>
                <w:kern w:val="0"/>
                <w:sz w:val="18"/>
                <w:szCs w:val="18"/>
              </w:rPr>
              <w:t>强化会员服务。（帮助会员改善经营管理；协助会员制定、实施行业标准；开展会员培训，提供咨询服务；维护会员权益；在会员中推动行业技术进步和技术创新；组织会员间的交流活动；行业协会应积极开展本行业从业人员技能培训、资质考核和技术职称评审工作）</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42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参与行业发展。（行业协会应逐年开展行业情况定期统计工作，代表本行业会员提出涉及本行业利益的意见和建议；行业协会应草拟行业发展规划、行业政策、行业标准等；行业协会应依法参与集体协商，签订行业性、区域性集体合同；行业协会应积极调解贸易纠纷；行业协会应积极开展行业市场评估，收集、发布行业信息，推广行业产品或服务；行业协会应积极组织行业会展、招商活动；行业协会应开展行业企业信用证明、地理标志证明商标、行业准入资质审查；行业协会应对行业生产经营许可、进出口许可和行业重大技术改造、技术引进项目进行评估论证；行业协会应积极规范本行业内的市场秩序；行业协会承接行政机关委托的其他促进行业发展的事项）</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2715"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做好行业内外的沟通协调工作。（协调会员之间、会员与非会员之间、会员与消费者之间在生产经营活动中产生的争议；协调本协会和其他行业协会或组织的关系；沟通本协会会员与市、区政府有关部门之间的联系，协助市、区政府有关部门开展工作；在价格行政管理部门的指导下，监督行业内产品或服务定价，协调会员之间的价格争议，维护公平竞争）</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265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pStyle w:val="49"/>
              <w:ind w:firstLine="0" w:firstLineChars="0"/>
              <w:rPr>
                <w:rFonts w:hAnsi="宋体" w:cs="宋体"/>
                <w:sz w:val="18"/>
                <w:szCs w:val="18"/>
              </w:rPr>
            </w:pPr>
            <w:r>
              <w:rPr>
                <w:rFonts w:hint="eastAsia" w:hAnsi="宋体" w:cs="宋体"/>
                <w:sz w:val="18"/>
                <w:szCs w:val="18"/>
              </w:rPr>
              <w:t>是否积极参与公共管理。（行业协会应结合相关法律法规和章程要</w:t>
            </w:r>
            <w:r>
              <w:rPr>
                <w:rFonts w:hint="eastAsia" w:hAnsi="宋体"/>
                <w:sz w:val="18"/>
                <w:szCs w:val="18"/>
              </w:rPr>
              <w:t>求开展会员的诚信自律建设活动，建立</w:t>
            </w:r>
            <w:r>
              <w:rPr>
                <w:rFonts w:hAnsi="宋体"/>
                <w:sz w:val="18"/>
                <w:szCs w:val="18"/>
              </w:rPr>
              <w:t>行业性诚信激励和惩戒机制</w:t>
            </w:r>
            <w:r>
              <w:rPr>
                <w:rFonts w:hint="eastAsia" w:hAnsi="宋体"/>
                <w:sz w:val="18"/>
                <w:szCs w:val="18"/>
              </w:rPr>
              <w:t>；</w:t>
            </w:r>
            <w:r>
              <w:rPr>
                <w:rFonts w:hint="eastAsia" w:hAnsi="宋体" w:cs="宋体"/>
                <w:sz w:val="18"/>
                <w:szCs w:val="18"/>
              </w:rPr>
              <w:t>行业协会参与涉及行业发展的行政管理决策的论证；向市、区政府及有关部门反映涉及行业利益的事项，提出相关立法以及有关技术规范、行业发展规划制定等方面的意见和建议；制定并组织实施行规、行约和行业职业道德准则，推动行业诚信建设；参与协调会员与其员工之间的劳动争议，化解社会矛盾，维护社会稳定，促进社会和谐）</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业务培训</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是否参加民政系统专业定点的社会组织教育培训活动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履行社会责任</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是否组织会员单位参与慈善、救助、环保等公益活动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国际交流</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行业协会本身或行业协会组织会员是否开展国际交流、开拓国内外市场（考察、项目合作、展会等）</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党组织活动是否正常（履行“三会一课”等），是否按照上级党委要求开展党建工作</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受表彰情况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是否受到（国家级、省级或市级）政府或</w:t>
            </w:r>
            <w:r>
              <w:rPr>
                <w:rFonts w:ascii="宋体" w:hAnsi="宋体"/>
                <w:kern w:val="0"/>
                <w:sz w:val="18"/>
                <w:szCs w:val="18"/>
              </w:rPr>
              <w:t>相关政府</w:t>
            </w:r>
            <w:r>
              <w:rPr>
                <w:rFonts w:hint="eastAsia" w:ascii="宋体" w:hAnsi="宋体"/>
                <w:kern w:val="0"/>
                <w:sz w:val="18"/>
                <w:szCs w:val="18"/>
              </w:rPr>
              <w:t>部门的正式表彰和奖励</w:t>
            </w:r>
          </w:p>
        </w:tc>
        <w:tc>
          <w:tcPr>
            <w:tcW w:w="99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bl>
    <w:p>
      <w:pPr>
        <w:pStyle w:val="157"/>
        <w:ind w:left="360" w:firstLine="0" w:firstLineChars="0"/>
      </w:pPr>
    </w:p>
    <w:p>
      <w:pPr>
        <w:pStyle w:val="157"/>
        <w:numPr>
          <w:ilvl w:val="0"/>
          <w:numId w:val="23"/>
        </w:numPr>
        <w:ind w:firstLineChars="0"/>
      </w:pPr>
      <w:r>
        <w:rPr>
          <w:rFonts w:hint="eastAsia" w:ascii="黑体" w:hAnsi="黑体" w:eastAsia="黑体" w:cs="宋体"/>
          <w:bCs/>
          <w:kern w:val="0"/>
          <w:szCs w:val="21"/>
        </w:rPr>
        <w:t>财产管理要求</w:t>
      </w:r>
    </w:p>
    <w:p>
      <w:pPr>
        <w:pStyle w:val="157"/>
        <w:ind w:left="360" w:firstLine="0" w:firstLineChars="0"/>
      </w:pPr>
    </w:p>
    <w:tbl>
      <w:tblPr>
        <w:tblStyle w:val="32"/>
        <w:tblW w:w="8647" w:type="dxa"/>
        <w:tblInd w:w="-34" w:type="dxa"/>
        <w:tblLayout w:type="fixed"/>
        <w:tblCellMar>
          <w:top w:w="0" w:type="dxa"/>
          <w:left w:w="108" w:type="dxa"/>
          <w:bottom w:w="0" w:type="dxa"/>
          <w:right w:w="108" w:type="dxa"/>
        </w:tblCellMar>
      </w:tblPr>
      <w:tblGrid>
        <w:gridCol w:w="851"/>
        <w:gridCol w:w="1559"/>
        <w:gridCol w:w="4111"/>
        <w:gridCol w:w="992"/>
        <w:gridCol w:w="1134"/>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分项</w:t>
            </w:r>
          </w:p>
        </w:tc>
        <w:tc>
          <w:tcPr>
            <w:tcW w:w="1559"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11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705"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资产来源合法</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资产和经费来源是否合法，收取费用、筹集资金或者接受捐赠、资助是否符合国家有关规定</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财产使用合法</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所有经费和合法收入是否用于章程规定的业务活动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服务收费</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各项服务收费是否符合国家规定的范围、标准和自身实际需要</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协会利益保护</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会长、副会长、理事、监事、秘书长等工作人员不得从事未向会员披露的关联交易，不得</w:t>
            </w:r>
            <w:r>
              <w:rPr>
                <w:rFonts w:ascii="宋体" w:hAnsi="宋体"/>
                <w:kern w:val="0"/>
                <w:sz w:val="18"/>
                <w:szCs w:val="18"/>
              </w:rPr>
              <w:t>以</w:t>
            </w:r>
            <w:r>
              <w:rPr>
                <w:rFonts w:hint="eastAsia" w:ascii="宋体" w:hAnsi="宋体"/>
                <w:kern w:val="0"/>
                <w:sz w:val="18"/>
                <w:szCs w:val="18"/>
              </w:rPr>
              <w:t>其他方式损害协会利益</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是否依据规定，建立了规范、可操作的财务管理制度，并严格执行</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6</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是否执行《民间非营利组织会计制度》,会计核算基础工作是否规范，所附原始凭证、填制记账凭证、登记账簿、编制会计报表是否规范</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资产管理</w:t>
            </w:r>
          </w:p>
        </w:tc>
        <w:tc>
          <w:tcPr>
            <w:tcW w:w="411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年末净资产是否低于设立登记时的净资产</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资产购置和处置是否履行严格的审批程序，资产是否建立登记管理台账</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税务管理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w:t>
            </w:r>
            <w:r>
              <w:rPr>
                <w:rFonts w:ascii="宋体" w:hAnsi="宋体"/>
                <w:kern w:val="0"/>
                <w:sz w:val="18"/>
                <w:szCs w:val="18"/>
              </w:rPr>
              <w:t>规定进行各种</w:t>
            </w:r>
            <w:r>
              <w:rPr>
                <w:rFonts w:hint="eastAsia" w:ascii="宋体" w:hAnsi="宋体"/>
                <w:kern w:val="0"/>
                <w:sz w:val="18"/>
                <w:szCs w:val="18"/>
              </w:rPr>
              <w:t>税</w:t>
            </w:r>
            <w:r>
              <w:rPr>
                <w:rFonts w:ascii="宋体" w:hAnsi="宋体"/>
                <w:kern w:val="0"/>
                <w:sz w:val="18"/>
                <w:szCs w:val="18"/>
              </w:rPr>
              <w:t>项的申报和缴纳。</w:t>
            </w:r>
            <w:r>
              <w:rPr>
                <w:rFonts w:hint="eastAsia" w:ascii="宋体" w:hAnsi="宋体"/>
                <w:kern w:val="0"/>
                <w:sz w:val="18"/>
                <w:szCs w:val="18"/>
              </w:rPr>
              <w:t>是否按规定到税务主管部门申请办理免税资格</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26"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个人所得是否均依法办理纳税申报</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票据管理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是否依据规定到票据管理部门申请办理票据领购手续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159"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税务和财政票据是否实行专人管理，有领用、使用、核销登记台账；对相关业务是否使用正规的税务、财政票据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6</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离任审计</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在换届和更换法定代表人之前，是否委托会计师事务所进行换届离任审计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财务人员</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财会人员是否按规定实行会计、出纳分设，持从业资格证上岗，并有严格的岗位职责，做到分工明确；未设置专门财会人员的，是否委托有资质的代理记账中介机构进行代理记账工作，并经理事会会议审议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1237"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会计档案管理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是否建立规范的档案管理制度，会计人员调动时，是否办理对财务资料交接手续，会计档案管理工作是否加强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67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nil"/>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收入资产状况</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年度总收入是否稳定或持续增长，</w:t>
            </w:r>
            <w:r>
              <w:rPr>
                <w:rFonts w:ascii="宋体" w:hAnsi="宋体"/>
                <w:kern w:val="0"/>
                <w:sz w:val="18"/>
                <w:szCs w:val="18"/>
              </w:rPr>
              <w:t xml:space="preserve">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702" w:hRule="atLeast"/>
        </w:trPr>
        <w:tc>
          <w:tcPr>
            <w:tcW w:w="851" w:type="dxa"/>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年末净资产是否保持稳定或持续增长</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r>
      <w:tr>
        <w:tblPrEx>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559"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411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bl>
    <w:p>
      <w:pPr>
        <w:pStyle w:val="157"/>
        <w:ind w:firstLine="0" w:firstLineChars="0"/>
      </w:pPr>
    </w:p>
    <w:p>
      <w:pPr>
        <w:pStyle w:val="157"/>
        <w:numPr>
          <w:ilvl w:val="0"/>
          <w:numId w:val="23"/>
        </w:numPr>
        <w:ind w:firstLineChars="0"/>
      </w:pPr>
      <w:r>
        <w:rPr>
          <w:rFonts w:hint="eastAsia" w:ascii="黑体" w:hAnsi="黑体" w:eastAsia="黑体" w:cs="宋体"/>
          <w:bCs/>
          <w:kern w:val="0"/>
          <w:szCs w:val="21"/>
        </w:rPr>
        <w:t>信息公开要求</w:t>
      </w:r>
    </w:p>
    <w:p>
      <w:pPr>
        <w:pStyle w:val="157"/>
        <w:ind w:left="360" w:firstLine="0" w:firstLineChars="0"/>
      </w:pPr>
    </w:p>
    <w:tbl>
      <w:tblPr>
        <w:tblStyle w:val="32"/>
        <w:tblW w:w="8647" w:type="dxa"/>
        <w:tblInd w:w="-34" w:type="dxa"/>
        <w:tblLayout w:type="fixed"/>
        <w:tblCellMar>
          <w:top w:w="0" w:type="dxa"/>
          <w:left w:w="108" w:type="dxa"/>
          <w:bottom w:w="0" w:type="dxa"/>
          <w:right w:w="108" w:type="dxa"/>
        </w:tblCellMar>
      </w:tblPr>
      <w:tblGrid>
        <w:gridCol w:w="851"/>
        <w:gridCol w:w="1559"/>
        <w:gridCol w:w="4111"/>
        <w:gridCol w:w="992"/>
        <w:gridCol w:w="1134"/>
      </w:tblGrid>
      <w:tr>
        <w:tblPrEx>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CellMar>
            <w:top w:w="0" w:type="dxa"/>
            <w:left w:w="108" w:type="dxa"/>
            <w:bottom w:w="0" w:type="dxa"/>
            <w:right w:w="108" w:type="dxa"/>
          </w:tblCellMar>
        </w:tblPrEx>
        <w:trPr>
          <w:trHeight w:val="1401" w:hRule="atLeast"/>
        </w:trPr>
        <w:tc>
          <w:tcPr>
            <w:tcW w:w="851" w:type="dxa"/>
            <w:vMerge w:val="restart"/>
            <w:tcBorders>
              <w:top w:val="nil"/>
              <w:left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p>
            <w:pPr>
              <w:jc w:val="left"/>
              <w:rPr>
                <w:rFonts w:ascii="宋体" w:hAnsi="宋体"/>
                <w:kern w:val="0"/>
                <w:sz w:val="18"/>
                <w:szCs w:val="18"/>
              </w:rPr>
            </w:pPr>
            <w:r>
              <w:rPr>
                <w:rFonts w:hint="eastAsia" w:ascii="宋体" w:hAnsi="宋体"/>
                <w:kern w:val="0"/>
                <w:sz w:val="18"/>
                <w:szCs w:val="18"/>
              </w:rPr>
              <w:t>　</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信息公开管理</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是否建立健全信息公开管理制度，对公开信息的真实性、完整性、及时性负责。公开信息是否便于公众获取，是否有虚假记载、误导性陈述或者重大遗漏</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left w:val="single" w:color="auto" w:sz="4" w:space="0"/>
              <w:bottom w:val="nil"/>
              <w:right w:val="nil"/>
            </w:tcBorders>
            <w:shd w:val="clear" w:color="auto" w:fill="auto"/>
            <w:vAlign w:val="center"/>
          </w:tcPr>
          <w:p>
            <w:pPr>
              <w:widowControl/>
              <w:jc w:val="left"/>
              <w:rPr>
                <w:rFonts w:ascii="宋体" w:hAnsi="宋体"/>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是否指定专人负责处理信息公开的有关事务，及时公开信息，频次符合管理要求</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613"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是否妥善保管信息公开档案</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82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信息公开内容</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在网站等渠道公开相关资料，内容丰富，体现组织特点和业务范围。（内容包括：登记事项；章程；组织机构信息；负责人、理事和监事名单；决策、执行、监督机构成员信息；许可事项；是否认定为慈善组织；是否享有税收优惠、资助补贴等优惠措施；政府购买服务情况；接收检查、抽查、评估的结果；接受表彰、处罚情况；服务内容和收费标准；接受捐赠和使用情况；设立分支机构情况）</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07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方便信息查阅</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公布的信息内容中是否包括机构名称、住所、业务范围、日常活动内容、咨询方式等，可以保证会员和社会公众能够方便快捷地查阅、询问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公众质疑回应</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是否及时回复公众质疑</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29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办公场所信息公开</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在办公场所</w:t>
            </w:r>
            <w:r>
              <w:rPr>
                <w:rFonts w:ascii="宋体" w:hAnsi="宋体"/>
                <w:kern w:val="0"/>
                <w:sz w:val="18"/>
                <w:szCs w:val="18"/>
              </w:rPr>
              <w:t>和</w:t>
            </w:r>
            <w:r>
              <w:rPr>
                <w:rFonts w:hint="eastAsia" w:ascii="宋体" w:hAnsi="宋体"/>
                <w:kern w:val="0"/>
                <w:sz w:val="18"/>
                <w:szCs w:val="18"/>
              </w:rPr>
              <w:t>服务场所是否公开机构信息及服务信息</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内部信息公开</w:t>
            </w: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机构内部是否公开规章制度、业务活动等相关信息</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财务报告</w:t>
            </w:r>
          </w:p>
        </w:tc>
        <w:tc>
          <w:tcPr>
            <w:tcW w:w="411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是否按章程规定向会员(代表)大会报告年度财务状况和重大经济活动情况</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渠道多元化</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信息建设平台是否多样，信息公开渠道是否丰富</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41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年报情况</w:t>
            </w:r>
          </w:p>
        </w:tc>
        <w:tc>
          <w:tcPr>
            <w:tcW w:w="411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规定向业务主管单位和登记管理机关编制并报送年报，年报内容是否真实（年报内容包括：遵守法律、法规、规章和国家政策的情况、履行登记手续的情况、按照章程开展活动的情况、人员和机构变动的情况以及财务管理的情况等）</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606"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年度工作报告是否向社会公开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xml:space="preserve">编制报送年报资料时是否同时按照要求真实准确填写《党建情况表》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118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不得公开事项</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涉及国家秘密、商业机密和个人隐私的信息以及法律、行政法规规定不予公开的其他信息，不得公开。捐赠人不同意公开的信息，不得公开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6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86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备注：行业协会同时被民政部门登记或者认定为慈善组织的，应比照基金会信息公开相关指标评分。</w:t>
            </w:r>
          </w:p>
        </w:tc>
      </w:tr>
    </w:tbl>
    <w:p>
      <w:pPr>
        <w:rPr>
          <w:rFonts w:ascii="黑体" w:hAnsi="黑体" w:eastAsia="黑体"/>
          <w:bCs/>
          <w:kern w:val="0"/>
          <w:szCs w:val="21"/>
        </w:rPr>
      </w:pPr>
      <w:r>
        <w:rPr>
          <w:rFonts w:hint="eastAsia" w:ascii="黑体" w:hAnsi="黑体" w:eastAsia="黑体"/>
          <w:bCs/>
          <w:kern w:val="0"/>
          <w:szCs w:val="21"/>
        </w:rPr>
        <w:t>被考评社会组织签名：                                               日期：</w:t>
      </w:r>
    </w:p>
    <w:tbl>
      <w:tblPr>
        <w:tblStyle w:val="32"/>
        <w:tblW w:w="8931" w:type="dxa"/>
        <w:tblInd w:w="-34" w:type="dxa"/>
        <w:tblLayout w:type="fixed"/>
        <w:tblCellMar>
          <w:top w:w="0" w:type="dxa"/>
          <w:left w:w="108" w:type="dxa"/>
          <w:bottom w:w="0" w:type="dxa"/>
          <w:right w:w="108" w:type="dxa"/>
        </w:tblCellMar>
      </w:tblPr>
      <w:tblGrid>
        <w:gridCol w:w="3828"/>
        <w:gridCol w:w="1276"/>
        <w:gridCol w:w="1417"/>
        <w:gridCol w:w="1418"/>
        <w:gridCol w:w="992"/>
      </w:tblGrid>
      <w:tr>
        <w:tblPrEx>
          <w:tblCellMar>
            <w:top w:w="0" w:type="dxa"/>
            <w:left w:w="108" w:type="dxa"/>
            <w:bottom w:w="0" w:type="dxa"/>
            <w:right w:w="108" w:type="dxa"/>
          </w:tblCellMar>
        </w:tblPrEx>
        <w:trPr>
          <w:trHeight w:val="930" w:hRule="atLeast"/>
        </w:trPr>
        <w:tc>
          <w:tcPr>
            <w:tcW w:w="8931" w:type="dxa"/>
            <w:gridSpan w:val="5"/>
            <w:tcBorders>
              <w:top w:val="nil"/>
              <w:left w:val="nil"/>
              <w:bottom w:val="nil"/>
              <w:right w:val="nil"/>
            </w:tcBorders>
            <w:shd w:val="clear" w:color="auto" w:fill="auto"/>
            <w:vAlign w:val="center"/>
          </w:tcPr>
          <w:p>
            <w:pPr>
              <w:widowControl/>
              <w:rPr>
                <w:rFonts w:ascii="黑体" w:hAnsi="黑体" w:eastAsia="黑体"/>
                <w:bCs/>
                <w:kern w:val="0"/>
                <w:szCs w:val="21"/>
              </w:rPr>
            </w:pPr>
            <w:bookmarkStart w:id="151" w:name="RANGE!A1:E16"/>
          </w:p>
          <w:p>
            <w:pPr>
              <w:keepNext/>
              <w:widowControl/>
              <w:shd w:val="clear" w:color="auto" w:fill="FFFFFF"/>
              <w:ind w:left="720"/>
              <w:outlineLvl w:val="0"/>
              <w:rPr>
                <w:rFonts w:hint="eastAsia" w:ascii="黑体" w:eastAsia="黑体"/>
                <w:kern w:val="0"/>
                <w:szCs w:val="21"/>
              </w:rPr>
            </w:pPr>
            <w:bookmarkStart w:id="152" w:name="_Toc478734668"/>
            <w:r>
              <w:rPr>
                <w:rFonts w:hint="eastAsia" w:ascii="黑体" w:eastAsia="黑体"/>
                <w:kern w:val="0"/>
                <w:szCs w:val="21"/>
              </w:rPr>
              <w:t xml:space="preserve">                         </w:t>
            </w:r>
          </w:p>
          <w:p>
            <w:pPr>
              <w:keepNext/>
              <w:widowControl/>
              <w:shd w:val="clear" w:color="auto" w:fill="FFFFFF"/>
              <w:ind w:left="720" w:leftChars="343" w:firstLine="3360" w:firstLineChars="1600"/>
              <w:outlineLvl w:val="0"/>
              <w:rPr>
                <w:rFonts w:ascii="黑体" w:eastAsia="黑体"/>
                <w:kern w:val="0"/>
                <w:szCs w:val="21"/>
              </w:rPr>
            </w:pPr>
            <w:r>
              <w:rPr>
                <w:rFonts w:hint="eastAsia" w:ascii="黑体" w:eastAsia="黑体"/>
                <w:kern w:val="0"/>
                <w:szCs w:val="21"/>
              </w:rPr>
              <w:t xml:space="preserve">  附录E</w:t>
            </w:r>
            <w:bookmarkEnd w:id="152"/>
          </w:p>
          <w:p>
            <w:pPr>
              <w:widowControl/>
              <w:jc w:val="center"/>
              <w:rPr>
                <w:rFonts w:ascii="黑体" w:hAnsi="黑体" w:eastAsia="黑体"/>
                <w:bCs/>
                <w:kern w:val="0"/>
                <w:szCs w:val="21"/>
              </w:rPr>
            </w:pPr>
            <w:r>
              <w:rPr>
                <w:rFonts w:hint="eastAsia" w:ascii="黑体" w:hAnsi="黑体" w:eastAsia="黑体"/>
                <w:bCs/>
                <w:kern w:val="0"/>
                <w:szCs w:val="21"/>
              </w:rPr>
              <w:t xml:space="preserve">    （规范附录）</w:t>
            </w:r>
          </w:p>
          <w:p>
            <w:pPr>
              <w:widowControl/>
              <w:jc w:val="center"/>
              <w:rPr>
                <w:rFonts w:ascii="黑体" w:hAnsi="黑体" w:eastAsia="黑体"/>
                <w:b/>
                <w:bCs/>
                <w:kern w:val="0"/>
                <w:szCs w:val="21"/>
              </w:rPr>
            </w:pPr>
            <w:r>
              <w:rPr>
                <w:rFonts w:hint="eastAsia" w:ascii="黑体" w:hAnsi="黑体" w:eastAsia="黑体"/>
                <w:b/>
                <w:bCs/>
                <w:kern w:val="0"/>
                <w:szCs w:val="21"/>
              </w:rPr>
              <w:t xml:space="preserve">    评估指标得分计算汇总表</w:t>
            </w:r>
            <w:bookmarkEnd w:id="151"/>
          </w:p>
          <w:p>
            <w:pPr>
              <w:widowControl/>
              <w:jc w:val="center"/>
              <w:rPr>
                <w:rFonts w:ascii="黑体" w:hAnsi="黑体" w:eastAsia="黑体"/>
                <w:bCs/>
                <w:kern w:val="0"/>
                <w:szCs w:val="21"/>
              </w:rPr>
            </w:pPr>
          </w:p>
        </w:tc>
      </w:tr>
      <w:tr>
        <w:tblPrEx>
          <w:tblCellMar>
            <w:top w:w="0" w:type="dxa"/>
            <w:left w:w="108" w:type="dxa"/>
            <w:bottom w:w="0" w:type="dxa"/>
            <w:right w:w="108" w:type="dxa"/>
          </w:tblCellMar>
        </w:tblPrEx>
        <w:trPr>
          <w:trHeight w:val="930" w:hRule="atLeast"/>
        </w:trPr>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评估指标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权重比例</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分项指标总分</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评估标准分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实际得分</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依法登记和接受监督</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15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内部治理规范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r>
              <w:rPr>
                <w:rFonts w:ascii="宋体" w:hAnsi="宋体"/>
                <w:kern w:val="0"/>
                <w:sz w:val="18"/>
                <w:szCs w:val="18"/>
              </w:rPr>
              <w:t>2</w:t>
            </w:r>
            <w:r>
              <w:rPr>
                <w:rFonts w:hint="eastAsia" w:ascii="宋体" w:hAnsi="宋体"/>
                <w:kern w:val="0"/>
                <w:sz w:val="18"/>
                <w:szCs w:val="18"/>
              </w:rPr>
              <w:t>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业务活动能力</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25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财务管理规范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0</w:t>
            </w:r>
            <w:r>
              <w:rPr>
                <w:rFonts w:hint="eastAsia" w:ascii="宋体" w:hAnsi="宋体"/>
                <w:kern w:val="0"/>
                <w:sz w:val="18"/>
                <w:szCs w:val="18"/>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 xml:space="preserve">  </w:t>
            </w:r>
            <w:r>
              <w:rPr>
                <w:rFonts w:hint="eastAsia" w:ascii="宋体" w:hAnsi="宋体"/>
                <w:kern w:val="0"/>
                <w:sz w:val="18"/>
                <w:szCs w:val="18"/>
              </w:rPr>
              <w:t>20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5</w:t>
            </w:r>
            <w:r>
              <w:rPr>
                <w:rFonts w:hint="eastAsia" w:ascii="宋体" w:hAnsi="宋体"/>
                <w:kern w:val="0"/>
                <w:sz w:val="18"/>
                <w:szCs w:val="18"/>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15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合计</w:t>
            </w:r>
          </w:p>
        </w:tc>
        <w:tc>
          <w:tcPr>
            <w:tcW w:w="1276"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7"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5</w:t>
            </w:r>
            <w:r>
              <w:rPr>
                <w:rFonts w:hint="eastAsia" w:ascii="宋体" w:hAnsi="宋体"/>
                <w:kern w:val="0"/>
                <w:sz w:val="18"/>
                <w:szCs w:val="18"/>
              </w:rPr>
              <w:t>00</w:t>
            </w:r>
          </w:p>
        </w:tc>
        <w:tc>
          <w:tcPr>
            <w:tcW w:w="1418"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　</w:t>
            </w:r>
          </w:p>
        </w:tc>
        <w:tc>
          <w:tcPr>
            <w:tcW w:w="992"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705" w:hRule="atLeast"/>
        </w:trPr>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说明：</w:t>
            </w:r>
          </w:p>
          <w:p>
            <w:pPr>
              <w:widowControl/>
              <w:jc w:val="left"/>
              <w:rPr>
                <w:rFonts w:ascii="宋体" w:hAnsi="宋体"/>
                <w:kern w:val="0"/>
                <w:sz w:val="18"/>
                <w:szCs w:val="18"/>
              </w:rPr>
            </w:pPr>
            <w:r>
              <w:rPr>
                <w:rFonts w:hint="eastAsia" w:ascii="宋体" w:hAnsi="宋体"/>
                <w:kern w:val="0"/>
                <w:sz w:val="18"/>
                <w:szCs w:val="18"/>
              </w:rPr>
              <w:t>1、评估标准分=分项指标总分*权重比例</w:t>
            </w:r>
          </w:p>
          <w:p>
            <w:pPr>
              <w:widowControl/>
              <w:rPr>
                <w:rFonts w:ascii="宋体" w:hAnsi="宋体"/>
                <w:kern w:val="0"/>
                <w:sz w:val="18"/>
                <w:szCs w:val="18"/>
              </w:rPr>
            </w:pPr>
            <w:r>
              <w:rPr>
                <w:rFonts w:hint="eastAsia" w:ascii="宋体" w:hAnsi="宋体"/>
                <w:kern w:val="0"/>
                <w:sz w:val="18"/>
                <w:szCs w:val="18"/>
              </w:rPr>
              <w:t>2、评估实际得分是专家根据各社会组织的实际情况给出的评分。</w:t>
            </w:r>
          </w:p>
          <w:p>
            <w:pPr>
              <w:widowControl/>
              <w:rPr>
                <w:rFonts w:ascii="宋体" w:hAnsi="宋体"/>
                <w:kern w:val="0"/>
                <w:sz w:val="18"/>
                <w:szCs w:val="18"/>
              </w:rPr>
            </w:pPr>
            <w:r>
              <w:rPr>
                <w:rFonts w:hint="eastAsia" w:ascii="宋体" w:hAnsi="宋体"/>
                <w:kern w:val="0"/>
                <w:sz w:val="18"/>
                <w:szCs w:val="18"/>
              </w:rPr>
              <w:t>3、评估等级确定方法：</w:t>
            </w:r>
          </w:p>
          <w:p>
            <w:pPr>
              <w:widowControl/>
              <w:rPr>
                <w:rFonts w:ascii="宋体" w:hAnsi="宋体"/>
                <w:kern w:val="0"/>
                <w:sz w:val="18"/>
                <w:szCs w:val="18"/>
              </w:rPr>
            </w:pPr>
            <w:r>
              <w:rPr>
                <w:rFonts w:hint="eastAsia" w:ascii="宋体" w:hAnsi="宋体"/>
                <w:kern w:val="0"/>
                <w:sz w:val="18"/>
                <w:szCs w:val="18"/>
              </w:rPr>
              <w:t>社会组织评估标准分</w:t>
            </w:r>
            <w:r>
              <w:rPr>
                <w:rFonts w:ascii="宋体" w:hAnsi="宋体"/>
                <w:kern w:val="0"/>
                <w:sz w:val="18"/>
                <w:szCs w:val="18"/>
              </w:rPr>
              <w:t xml:space="preserve">0 </w:t>
            </w:r>
            <w:r>
              <w:rPr>
                <w:rFonts w:hint="eastAsia" w:ascii="宋体" w:hAnsi="宋体"/>
                <w:kern w:val="0"/>
                <w:sz w:val="18"/>
                <w:szCs w:val="18"/>
              </w:rPr>
              <w:t>分以上</w:t>
            </w:r>
            <w:r>
              <w:rPr>
                <w:rFonts w:ascii="宋体" w:hAnsi="宋体"/>
                <w:kern w:val="0"/>
                <w:sz w:val="18"/>
                <w:szCs w:val="18"/>
              </w:rPr>
              <w:t>50</w:t>
            </w:r>
            <w:r>
              <w:rPr>
                <w:rFonts w:hint="eastAsia" w:ascii="宋体" w:hAnsi="宋体"/>
                <w:kern w:val="0"/>
                <w:sz w:val="18"/>
                <w:szCs w:val="18"/>
              </w:rPr>
              <w:t>分以下，评估等级为无</w:t>
            </w:r>
            <w:r>
              <w:rPr>
                <w:rFonts w:ascii="宋体" w:hAnsi="宋体"/>
                <w:kern w:val="0"/>
                <w:sz w:val="18"/>
                <w:szCs w:val="18"/>
              </w:rPr>
              <w:t>等级；</w:t>
            </w:r>
          </w:p>
          <w:p>
            <w:pPr>
              <w:widowControl/>
              <w:rPr>
                <w:rFonts w:ascii="宋体" w:hAnsi="宋体"/>
                <w:kern w:val="0"/>
                <w:sz w:val="18"/>
                <w:szCs w:val="18"/>
              </w:rPr>
            </w:pPr>
            <w:r>
              <w:rPr>
                <w:rFonts w:hint="eastAsia" w:ascii="宋体" w:hAnsi="宋体"/>
                <w:kern w:val="0"/>
                <w:sz w:val="18"/>
                <w:szCs w:val="18"/>
              </w:rPr>
              <w:t>社会组织评估标准分51分以上</w:t>
            </w:r>
            <w:r>
              <w:rPr>
                <w:rFonts w:ascii="宋体" w:hAnsi="宋体"/>
                <w:kern w:val="0"/>
                <w:sz w:val="18"/>
                <w:szCs w:val="18"/>
              </w:rPr>
              <w:t>60</w:t>
            </w:r>
            <w:r>
              <w:rPr>
                <w:rFonts w:hint="eastAsia" w:ascii="宋体" w:hAnsi="宋体"/>
                <w:kern w:val="0"/>
                <w:sz w:val="18"/>
                <w:szCs w:val="18"/>
              </w:rPr>
              <w:t>分以下，评估等级为</w:t>
            </w:r>
            <w:r>
              <w:rPr>
                <w:rFonts w:ascii="宋体" w:hAnsi="宋体"/>
                <w:kern w:val="0"/>
                <w:sz w:val="18"/>
                <w:szCs w:val="18"/>
              </w:rPr>
              <w:t>1</w:t>
            </w:r>
            <w:r>
              <w:rPr>
                <w:rFonts w:hint="eastAsia" w:ascii="宋体" w:hAnsi="宋体"/>
                <w:kern w:val="0"/>
                <w:sz w:val="18"/>
                <w:szCs w:val="18"/>
              </w:rPr>
              <w:t>A；</w:t>
            </w:r>
          </w:p>
          <w:p>
            <w:pPr>
              <w:widowControl/>
              <w:rPr>
                <w:rFonts w:ascii="宋体" w:hAnsi="宋体"/>
                <w:kern w:val="0"/>
                <w:sz w:val="18"/>
                <w:szCs w:val="18"/>
              </w:rPr>
            </w:pPr>
            <w:r>
              <w:rPr>
                <w:rFonts w:hint="eastAsia" w:ascii="宋体" w:hAnsi="宋体"/>
                <w:kern w:val="0"/>
                <w:sz w:val="18"/>
                <w:szCs w:val="18"/>
              </w:rPr>
              <w:t>社会组织</w:t>
            </w:r>
            <w:r>
              <w:rPr>
                <w:rFonts w:ascii="宋体" w:hAnsi="宋体"/>
                <w:kern w:val="0"/>
                <w:sz w:val="18"/>
                <w:szCs w:val="18"/>
              </w:rPr>
              <w:t>评估标准分</w:t>
            </w:r>
            <w:r>
              <w:rPr>
                <w:rFonts w:hint="eastAsia" w:ascii="宋体" w:hAnsi="宋体"/>
                <w:kern w:val="0"/>
                <w:sz w:val="18"/>
                <w:szCs w:val="18"/>
              </w:rPr>
              <w:t>61分</w:t>
            </w:r>
            <w:r>
              <w:rPr>
                <w:rFonts w:ascii="宋体" w:hAnsi="宋体"/>
                <w:kern w:val="0"/>
                <w:sz w:val="18"/>
                <w:szCs w:val="18"/>
              </w:rPr>
              <w:t>以上</w:t>
            </w:r>
            <w:r>
              <w:rPr>
                <w:rFonts w:hint="eastAsia" w:ascii="宋体" w:hAnsi="宋体"/>
                <w:kern w:val="0"/>
                <w:sz w:val="18"/>
                <w:szCs w:val="18"/>
              </w:rPr>
              <w:t>70分以</w:t>
            </w:r>
            <w:r>
              <w:rPr>
                <w:rFonts w:ascii="宋体" w:hAnsi="宋体"/>
                <w:kern w:val="0"/>
                <w:sz w:val="18"/>
                <w:szCs w:val="18"/>
              </w:rPr>
              <w:t>下，评估等级为</w:t>
            </w:r>
            <w:r>
              <w:rPr>
                <w:rFonts w:hint="eastAsia" w:ascii="宋体" w:hAnsi="宋体"/>
                <w:kern w:val="0"/>
                <w:sz w:val="18"/>
                <w:szCs w:val="18"/>
              </w:rPr>
              <w:t>2A</w:t>
            </w:r>
            <w:r>
              <w:rPr>
                <w:rFonts w:ascii="宋体" w:hAnsi="宋体"/>
                <w:kern w:val="0"/>
                <w:sz w:val="18"/>
                <w:szCs w:val="18"/>
              </w:rPr>
              <w:t xml:space="preserve"> </w:t>
            </w:r>
          </w:p>
          <w:p>
            <w:pPr>
              <w:widowControl/>
              <w:rPr>
                <w:rFonts w:ascii="宋体" w:hAnsi="宋体"/>
                <w:kern w:val="0"/>
                <w:sz w:val="18"/>
                <w:szCs w:val="18"/>
              </w:rPr>
            </w:pPr>
            <w:r>
              <w:rPr>
                <w:rFonts w:hint="eastAsia" w:ascii="宋体" w:hAnsi="宋体"/>
                <w:kern w:val="0"/>
                <w:sz w:val="18"/>
                <w:szCs w:val="18"/>
              </w:rPr>
              <w:t>社会组织评估标准分7</w:t>
            </w:r>
            <w:r>
              <w:rPr>
                <w:rFonts w:ascii="宋体" w:hAnsi="宋体"/>
                <w:kern w:val="0"/>
                <w:sz w:val="18"/>
                <w:szCs w:val="18"/>
              </w:rPr>
              <w:t>1</w:t>
            </w:r>
            <w:r>
              <w:rPr>
                <w:rFonts w:hint="eastAsia" w:ascii="宋体" w:hAnsi="宋体"/>
                <w:kern w:val="0"/>
                <w:sz w:val="18"/>
                <w:szCs w:val="18"/>
              </w:rPr>
              <w:t>分以上80分以下，评估等级为3A；</w:t>
            </w:r>
          </w:p>
          <w:p>
            <w:pPr>
              <w:widowControl/>
              <w:rPr>
                <w:rFonts w:ascii="宋体" w:hAnsi="宋体"/>
                <w:kern w:val="0"/>
                <w:sz w:val="18"/>
                <w:szCs w:val="18"/>
              </w:rPr>
            </w:pPr>
            <w:r>
              <w:rPr>
                <w:rFonts w:hint="eastAsia" w:ascii="宋体" w:hAnsi="宋体"/>
                <w:kern w:val="0"/>
                <w:sz w:val="18"/>
                <w:szCs w:val="18"/>
              </w:rPr>
              <w:t>社会组织评估标准分8</w:t>
            </w:r>
            <w:r>
              <w:rPr>
                <w:rFonts w:ascii="宋体" w:hAnsi="宋体"/>
                <w:kern w:val="0"/>
                <w:sz w:val="18"/>
                <w:szCs w:val="18"/>
              </w:rPr>
              <w:t>1</w:t>
            </w:r>
            <w:r>
              <w:rPr>
                <w:rFonts w:hint="eastAsia" w:ascii="宋体" w:hAnsi="宋体"/>
                <w:kern w:val="0"/>
                <w:sz w:val="18"/>
                <w:szCs w:val="18"/>
              </w:rPr>
              <w:t>分以上90分以下，评估等级为4A；</w:t>
            </w:r>
          </w:p>
          <w:p>
            <w:pPr>
              <w:widowControl/>
              <w:rPr>
                <w:rFonts w:ascii="宋体" w:hAnsi="宋体"/>
                <w:kern w:val="0"/>
                <w:sz w:val="18"/>
                <w:szCs w:val="18"/>
              </w:rPr>
            </w:pPr>
            <w:r>
              <w:rPr>
                <w:rFonts w:hint="eastAsia" w:ascii="宋体" w:hAnsi="宋体"/>
                <w:kern w:val="0"/>
                <w:sz w:val="18"/>
                <w:szCs w:val="18"/>
              </w:rPr>
              <w:t>社会组织评估标准分9</w:t>
            </w:r>
            <w:r>
              <w:rPr>
                <w:rFonts w:ascii="宋体" w:hAnsi="宋体"/>
                <w:kern w:val="0"/>
                <w:sz w:val="18"/>
                <w:szCs w:val="18"/>
              </w:rPr>
              <w:t>1</w:t>
            </w:r>
            <w:r>
              <w:rPr>
                <w:rFonts w:hint="eastAsia" w:ascii="宋体" w:hAnsi="宋体"/>
                <w:kern w:val="0"/>
                <w:sz w:val="18"/>
                <w:szCs w:val="18"/>
              </w:rPr>
              <w:t>分以上100分以下，评估等级为5A。</w:t>
            </w:r>
          </w:p>
        </w:tc>
      </w:tr>
    </w:tbl>
    <w:p>
      <w:pPr>
        <w:ind w:firstLine="420" w:firstLineChars="200"/>
      </w:pPr>
    </w:p>
    <w:p>
      <w:pPr>
        <w:widowControl/>
        <w:spacing w:line="480" w:lineRule="auto"/>
        <w:ind w:firstLine="170" w:firstLineChars="50"/>
        <w:rPr>
          <w:rFonts w:ascii="仿宋" w:hAnsi="仿宋" w:eastAsia="仿宋"/>
          <w:color w:val="333333"/>
          <w:spacing w:val="1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120"/>
      <w:jc w:val="center"/>
    </w:pPr>
    <w:r>
      <w:fldChar w:fldCharType="begin"/>
    </w:r>
    <w:r>
      <w:instrText xml:space="preserve"> PAGE   \* MERGEFORMAT </w:instrText>
    </w:r>
    <w:r>
      <w:fldChar w:fldCharType="separate"/>
    </w:r>
    <w:r>
      <w:rPr>
        <w:lang w:val="zh-CN"/>
      </w:rPr>
      <w:t>56</w:t>
    </w:r>
    <w:r>
      <w:rPr>
        <w:lang w:val="zh-CN"/>
      </w:rPr>
      <w:fldChar w:fldCharType="end"/>
    </w:r>
  </w:p>
  <w:p>
    <w:pPr>
      <w:pStyle w:val="7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7"/>
    </w:pPr>
    <w:r>
      <w:fldChar w:fldCharType="begin"/>
    </w:r>
    <w:r>
      <w:instrText xml:space="preserve"> PAGE  \* MERGEFORMAT </w:instrText>
    </w:r>
    <w:r>
      <w:fldChar w:fldCharType="separate"/>
    </w:r>
    <w:r>
      <w:t>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35"/>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1">
    <w:nsid w:val="085B2DC5"/>
    <w:multiLevelType w:val="multilevel"/>
    <w:tmpl w:val="085B2D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3C6778"/>
    <w:multiLevelType w:val="multilevel"/>
    <w:tmpl w:val="093C6778"/>
    <w:lvl w:ilvl="0" w:tentative="0">
      <w:start w:val="1"/>
      <w:numFmt w:val="decimal"/>
      <w:pStyle w:val="70"/>
      <w:suff w:val="nothing"/>
      <w:lvlText w:val="示例%1："/>
      <w:lvlJc w:val="left"/>
      <w:pPr>
        <w:ind w:firstLine="397"/>
      </w:pPr>
      <w:rPr>
        <w:rFonts w:hint="eastAsia" w:ascii="黑体" w:eastAsia="黑体" w:cs="Times New Roman"/>
        <w:sz w:val="1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3">
    <w:nsid w:val="0AE367E9"/>
    <w:multiLevelType w:val="multilevel"/>
    <w:tmpl w:val="0AE367E9"/>
    <w:lvl w:ilvl="0" w:tentative="0">
      <w:start w:val="1"/>
      <w:numFmt w:val="none"/>
      <w:pStyle w:val="116"/>
      <w:suff w:val="nothing"/>
      <w:lvlText w:val="%1示例："/>
      <w:lvlJc w:val="left"/>
      <w:pPr>
        <w:ind w:firstLine="363"/>
      </w:pPr>
      <w:rPr>
        <w:rFonts w:hint="eastAsia" w:ascii="黑体" w:eastAsia="黑体" w:cs="Times New Roman"/>
        <w:b w:val="0"/>
        <w:i w:val="0"/>
        <w:sz w:val="18"/>
        <w:szCs w:val="18"/>
      </w:rPr>
    </w:lvl>
    <w:lvl w:ilvl="1" w:tentative="0">
      <w:start w:val="1"/>
      <w:numFmt w:val="lowerLetter"/>
      <w:lvlText w:val="%2)"/>
      <w:lvlJc w:val="left"/>
      <w:pPr>
        <w:tabs>
          <w:tab w:val="left" w:pos="363"/>
        </w:tabs>
        <w:ind w:firstLine="363"/>
      </w:pPr>
      <w:rPr>
        <w:rFonts w:hint="eastAsia" w:cs="Times New Roman"/>
      </w:rPr>
    </w:lvl>
    <w:lvl w:ilvl="2" w:tentative="0">
      <w:start w:val="1"/>
      <w:numFmt w:val="lowerRoman"/>
      <w:lvlText w:val="%3."/>
      <w:lvlJc w:val="right"/>
      <w:pPr>
        <w:tabs>
          <w:tab w:val="left" w:pos="363"/>
        </w:tabs>
        <w:ind w:firstLine="363"/>
      </w:pPr>
      <w:rPr>
        <w:rFonts w:hint="eastAsia" w:cs="Times New Roman"/>
      </w:rPr>
    </w:lvl>
    <w:lvl w:ilvl="3" w:tentative="0">
      <w:start w:val="1"/>
      <w:numFmt w:val="decimal"/>
      <w:lvlText w:val="%4."/>
      <w:lvlJc w:val="left"/>
      <w:pPr>
        <w:tabs>
          <w:tab w:val="left" w:pos="363"/>
        </w:tabs>
        <w:ind w:firstLine="363"/>
      </w:pPr>
      <w:rPr>
        <w:rFonts w:hint="eastAsia" w:cs="Times New Roman"/>
      </w:rPr>
    </w:lvl>
    <w:lvl w:ilvl="4" w:tentative="0">
      <w:start w:val="1"/>
      <w:numFmt w:val="lowerLetter"/>
      <w:lvlText w:val="%5)"/>
      <w:lvlJc w:val="left"/>
      <w:pPr>
        <w:tabs>
          <w:tab w:val="left" w:pos="363"/>
        </w:tabs>
        <w:ind w:firstLine="363"/>
      </w:pPr>
      <w:rPr>
        <w:rFonts w:hint="eastAsia" w:cs="Times New Roman"/>
      </w:rPr>
    </w:lvl>
    <w:lvl w:ilvl="5" w:tentative="0">
      <w:start w:val="1"/>
      <w:numFmt w:val="lowerRoman"/>
      <w:lvlText w:val="%6."/>
      <w:lvlJc w:val="right"/>
      <w:pPr>
        <w:tabs>
          <w:tab w:val="left" w:pos="363"/>
        </w:tabs>
        <w:ind w:firstLine="363"/>
      </w:pPr>
      <w:rPr>
        <w:rFonts w:hint="eastAsia" w:cs="Times New Roman"/>
      </w:rPr>
    </w:lvl>
    <w:lvl w:ilvl="6" w:tentative="0">
      <w:start w:val="1"/>
      <w:numFmt w:val="decimal"/>
      <w:lvlText w:val="%7."/>
      <w:lvlJc w:val="left"/>
      <w:pPr>
        <w:tabs>
          <w:tab w:val="left" w:pos="363"/>
        </w:tabs>
        <w:ind w:firstLine="363"/>
      </w:pPr>
      <w:rPr>
        <w:rFonts w:hint="eastAsia" w:cs="Times New Roman"/>
      </w:rPr>
    </w:lvl>
    <w:lvl w:ilvl="7" w:tentative="0">
      <w:start w:val="1"/>
      <w:numFmt w:val="lowerLetter"/>
      <w:lvlText w:val="%8)"/>
      <w:lvlJc w:val="left"/>
      <w:pPr>
        <w:tabs>
          <w:tab w:val="left" w:pos="363"/>
        </w:tabs>
        <w:ind w:firstLine="363"/>
      </w:pPr>
      <w:rPr>
        <w:rFonts w:hint="eastAsia" w:cs="Times New Roman"/>
      </w:rPr>
    </w:lvl>
    <w:lvl w:ilvl="8" w:tentative="0">
      <w:start w:val="1"/>
      <w:numFmt w:val="lowerRoman"/>
      <w:lvlText w:val="%9."/>
      <w:lvlJc w:val="right"/>
      <w:pPr>
        <w:tabs>
          <w:tab w:val="left" w:pos="363"/>
        </w:tabs>
        <w:ind w:firstLine="363"/>
      </w:pPr>
      <w:rPr>
        <w:rFonts w:hint="eastAsia" w:cs="Times New Roman"/>
      </w:rPr>
    </w:lvl>
  </w:abstractNum>
  <w:abstractNum w:abstractNumId="4">
    <w:nsid w:val="0DDE2B46"/>
    <w:multiLevelType w:val="multilevel"/>
    <w:tmpl w:val="0DDE2B46"/>
    <w:lvl w:ilvl="0" w:tentative="0">
      <w:start w:val="1"/>
      <w:numFmt w:val="lowerLetter"/>
      <w:pStyle w:val="140"/>
      <w:suff w:val="nothing"/>
      <w:lvlText w:val="%1   "/>
      <w:lvlJc w:val="left"/>
      <w:pPr>
        <w:ind w:left="544" w:hanging="181"/>
      </w:pPr>
      <w:rPr>
        <w:rFonts w:hint="eastAsia" w:ascii="宋体" w:eastAsia="宋体" w:cs="Times New Roman"/>
        <w:b w:val="0"/>
        <w:i w:val="0"/>
        <w:sz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5">
    <w:nsid w:val="1DBF583A"/>
    <w:multiLevelType w:val="multilevel"/>
    <w:tmpl w:val="1DBF583A"/>
    <w:lvl w:ilvl="0" w:tentative="0">
      <w:start w:val="1"/>
      <w:numFmt w:val="decimal"/>
      <w:pStyle w:val="93"/>
      <w:suff w:val="nothing"/>
      <w:lvlText w:val="注%1："/>
      <w:lvlJc w:val="left"/>
      <w:pPr>
        <w:ind w:left="811" w:hanging="448"/>
      </w:pPr>
      <w:rPr>
        <w:rFonts w:hint="eastAsia" w:ascii="黑体" w:eastAsia="黑体" w:cs="Times New Roman"/>
        <w:b w:val="0"/>
        <w:i w:val="0"/>
        <w:sz w:val="18"/>
        <w:szCs w:val="18"/>
        <w:vertAlign w:val="baseline"/>
      </w:rPr>
    </w:lvl>
    <w:lvl w:ilvl="1" w:tentative="0">
      <w:start w:val="1"/>
      <w:numFmt w:val="lowerLetter"/>
      <w:lvlText w:val="%2)"/>
      <w:lvlJc w:val="left"/>
      <w:pPr>
        <w:tabs>
          <w:tab w:val="left" w:pos="180"/>
        </w:tabs>
        <w:ind w:left="1172" w:hanging="629"/>
      </w:pPr>
      <w:rPr>
        <w:rFonts w:hint="eastAsia" w:cs="Times New Roman"/>
        <w:vertAlign w:val="baseline"/>
      </w:rPr>
    </w:lvl>
    <w:lvl w:ilvl="2" w:tentative="0">
      <w:start w:val="1"/>
      <w:numFmt w:val="lowerRoman"/>
      <w:lvlText w:val="%3."/>
      <w:lvlJc w:val="right"/>
      <w:pPr>
        <w:tabs>
          <w:tab w:val="left" w:pos="180"/>
        </w:tabs>
        <w:ind w:left="1172" w:hanging="629"/>
      </w:pPr>
      <w:rPr>
        <w:rFonts w:hint="eastAsia" w:cs="Times New Roman"/>
        <w:vertAlign w:val="baseline"/>
      </w:rPr>
    </w:lvl>
    <w:lvl w:ilvl="3" w:tentative="0">
      <w:start w:val="1"/>
      <w:numFmt w:val="decimal"/>
      <w:lvlText w:val="%4."/>
      <w:lvlJc w:val="left"/>
      <w:pPr>
        <w:tabs>
          <w:tab w:val="left" w:pos="180"/>
        </w:tabs>
        <w:ind w:left="1172" w:hanging="629"/>
      </w:pPr>
      <w:rPr>
        <w:rFonts w:hint="eastAsia" w:cs="Times New Roman"/>
        <w:vertAlign w:val="baseline"/>
      </w:rPr>
    </w:lvl>
    <w:lvl w:ilvl="4" w:tentative="0">
      <w:start w:val="1"/>
      <w:numFmt w:val="lowerLetter"/>
      <w:lvlText w:val="%5)"/>
      <w:lvlJc w:val="left"/>
      <w:pPr>
        <w:tabs>
          <w:tab w:val="left" w:pos="180"/>
        </w:tabs>
        <w:ind w:left="1172" w:hanging="629"/>
      </w:pPr>
      <w:rPr>
        <w:rFonts w:hint="eastAsia" w:cs="Times New Roman"/>
        <w:vertAlign w:val="baseline"/>
      </w:rPr>
    </w:lvl>
    <w:lvl w:ilvl="5" w:tentative="0">
      <w:start w:val="1"/>
      <w:numFmt w:val="lowerRoman"/>
      <w:lvlText w:val="%6."/>
      <w:lvlJc w:val="right"/>
      <w:pPr>
        <w:tabs>
          <w:tab w:val="left" w:pos="180"/>
        </w:tabs>
        <w:ind w:left="1172" w:hanging="629"/>
      </w:pPr>
      <w:rPr>
        <w:rFonts w:hint="eastAsia" w:cs="Times New Roman"/>
        <w:vertAlign w:val="baseline"/>
      </w:rPr>
    </w:lvl>
    <w:lvl w:ilvl="6" w:tentative="0">
      <w:start w:val="1"/>
      <w:numFmt w:val="decimal"/>
      <w:lvlText w:val="%7."/>
      <w:lvlJc w:val="left"/>
      <w:pPr>
        <w:tabs>
          <w:tab w:val="left" w:pos="180"/>
        </w:tabs>
        <w:ind w:left="1172" w:hanging="629"/>
      </w:pPr>
      <w:rPr>
        <w:rFonts w:hint="eastAsia" w:cs="Times New Roman"/>
        <w:vertAlign w:val="baseline"/>
      </w:rPr>
    </w:lvl>
    <w:lvl w:ilvl="7" w:tentative="0">
      <w:start w:val="1"/>
      <w:numFmt w:val="lowerLetter"/>
      <w:lvlText w:val="%8)"/>
      <w:lvlJc w:val="left"/>
      <w:pPr>
        <w:tabs>
          <w:tab w:val="left" w:pos="180"/>
        </w:tabs>
        <w:ind w:left="1172" w:hanging="629"/>
      </w:pPr>
      <w:rPr>
        <w:rFonts w:hint="eastAsia" w:cs="Times New Roman"/>
        <w:vertAlign w:val="baseline"/>
      </w:rPr>
    </w:lvl>
    <w:lvl w:ilvl="8" w:tentative="0">
      <w:start w:val="1"/>
      <w:numFmt w:val="lowerRoman"/>
      <w:lvlText w:val="%9."/>
      <w:lvlJc w:val="right"/>
      <w:pPr>
        <w:tabs>
          <w:tab w:val="left" w:pos="180"/>
        </w:tabs>
        <w:ind w:left="1172" w:hanging="629"/>
      </w:pPr>
      <w:rPr>
        <w:rFonts w:hint="eastAsia" w:cs="Times New Roman"/>
        <w:vertAlign w:val="baseline"/>
      </w:rPr>
    </w:lvl>
  </w:abstractNum>
  <w:abstractNum w:abstractNumId="6">
    <w:nsid w:val="2A8F7113"/>
    <w:multiLevelType w:val="multilevel"/>
    <w:tmpl w:val="2A8F7113"/>
    <w:lvl w:ilvl="0" w:tentative="0">
      <w:start w:val="1"/>
      <w:numFmt w:val="upperLetter"/>
      <w:pStyle w:val="131"/>
      <w:suff w:val="space"/>
      <w:lvlText w:val="%1"/>
      <w:lvlJc w:val="left"/>
      <w:pPr>
        <w:ind w:left="623" w:hanging="425"/>
      </w:pPr>
      <w:rPr>
        <w:rFonts w:hint="eastAsia" w:cs="Times New Roman"/>
      </w:rPr>
    </w:lvl>
    <w:lvl w:ilvl="1" w:tentative="0">
      <w:start w:val="1"/>
      <w:numFmt w:val="decimal"/>
      <w:pStyle w:val="125"/>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7">
    <w:nsid w:val="2C5917C3"/>
    <w:multiLevelType w:val="multilevel"/>
    <w:tmpl w:val="2C5917C3"/>
    <w:lvl w:ilvl="0" w:tentative="0">
      <w:start w:val="1"/>
      <w:numFmt w:val="none"/>
      <w:pStyle w:val="144"/>
      <w:suff w:val="nothing"/>
      <w:lvlText w:val="%1——"/>
      <w:lvlJc w:val="left"/>
      <w:pPr>
        <w:ind w:left="833" w:hanging="408"/>
      </w:pPr>
      <w:rPr>
        <w:rFonts w:hint="eastAsia" w:cs="Times New Roman"/>
      </w:rPr>
    </w:lvl>
    <w:lvl w:ilvl="1" w:tentative="0">
      <w:start w:val="1"/>
      <w:numFmt w:val="bullet"/>
      <w:pStyle w:val="154"/>
      <w:lvlText w:val=""/>
      <w:lvlJc w:val="left"/>
      <w:pPr>
        <w:tabs>
          <w:tab w:val="left" w:pos="760"/>
        </w:tabs>
        <w:ind w:left="1264" w:hanging="413"/>
      </w:pPr>
      <w:rPr>
        <w:rFonts w:hint="default" w:ascii="Symbol" w:hAnsi="Symbol"/>
        <w:color w:val="auto"/>
      </w:rPr>
    </w:lvl>
    <w:lvl w:ilvl="2" w:tentative="0">
      <w:start w:val="1"/>
      <w:numFmt w:val="bullet"/>
      <w:pStyle w:val="8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cs="Times New Roman"/>
      </w:rPr>
    </w:lvl>
    <w:lvl w:ilvl="1" w:tentative="0">
      <w:start w:val="1"/>
      <w:numFmt w:val="lowerLetter"/>
      <w:lvlText w:val="%2)"/>
      <w:lvlJc w:val="left"/>
      <w:pPr>
        <w:tabs>
          <w:tab w:val="left" w:pos="504"/>
        </w:tabs>
        <w:ind w:left="544" w:hanging="544"/>
      </w:pPr>
      <w:rPr>
        <w:rFonts w:hint="eastAsia" w:cs="Times New Roman"/>
      </w:rPr>
    </w:lvl>
    <w:lvl w:ilvl="2" w:tentative="0">
      <w:start w:val="1"/>
      <w:numFmt w:val="lowerRoman"/>
      <w:lvlText w:val="%3."/>
      <w:lvlJc w:val="right"/>
      <w:pPr>
        <w:tabs>
          <w:tab w:val="left" w:pos="532"/>
        </w:tabs>
        <w:ind w:left="544" w:hanging="544"/>
      </w:pPr>
      <w:rPr>
        <w:rFonts w:hint="eastAsia" w:cs="Times New Roman"/>
      </w:rPr>
    </w:lvl>
    <w:lvl w:ilvl="3" w:tentative="0">
      <w:start w:val="1"/>
      <w:numFmt w:val="decimal"/>
      <w:lvlText w:val="%4."/>
      <w:lvlJc w:val="left"/>
      <w:pPr>
        <w:tabs>
          <w:tab w:val="left" w:pos="560"/>
        </w:tabs>
        <w:ind w:left="544" w:hanging="544"/>
      </w:pPr>
      <w:rPr>
        <w:rFonts w:hint="eastAsia" w:cs="Times New Roman"/>
      </w:rPr>
    </w:lvl>
    <w:lvl w:ilvl="4" w:tentative="0">
      <w:start w:val="1"/>
      <w:numFmt w:val="lowerLetter"/>
      <w:lvlText w:val="%5)"/>
      <w:lvlJc w:val="left"/>
      <w:pPr>
        <w:tabs>
          <w:tab w:val="left" w:pos="588"/>
        </w:tabs>
        <w:ind w:left="544" w:hanging="544"/>
      </w:pPr>
      <w:rPr>
        <w:rFonts w:hint="eastAsia" w:cs="Times New Roman"/>
      </w:rPr>
    </w:lvl>
    <w:lvl w:ilvl="5" w:tentative="0">
      <w:start w:val="1"/>
      <w:numFmt w:val="lowerRoman"/>
      <w:lvlText w:val="%6."/>
      <w:lvlJc w:val="right"/>
      <w:pPr>
        <w:tabs>
          <w:tab w:val="left" w:pos="616"/>
        </w:tabs>
        <w:ind w:left="544" w:hanging="544"/>
      </w:pPr>
      <w:rPr>
        <w:rFonts w:hint="eastAsia" w:cs="Times New Roman"/>
      </w:rPr>
    </w:lvl>
    <w:lvl w:ilvl="6" w:tentative="0">
      <w:start w:val="1"/>
      <w:numFmt w:val="decimal"/>
      <w:lvlText w:val="%7."/>
      <w:lvlJc w:val="left"/>
      <w:pPr>
        <w:tabs>
          <w:tab w:val="left" w:pos="644"/>
        </w:tabs>
        <w:ind w:left="544" w:hanging="544"/>
      </w:pPr>
      <w:rPr>
        <w:rFonts w:hint="eastAsia" w:cs="Times New Roman"/>
      </w:rPr>
    </w:lvl>
    <w:lvl w:ilvl="7" w:tentative="0">
      <w:start w:val="1"/>
      <w:numFmt w:val="lowerLetter"/>
      <w:lvlText w:val="%8)"/>
      <w:lvlJc w:val="left"/>
      <w:pPr>
        <w:tabs>
          <w:tab w:val="left" w:pos="672"/>
        </w:tabs>
        <w:ind w:left="544" w:hanging="544"/>
      </w:pPr>
      <w:rPr>
        <w:rFonts w:hint="eastAsia" w:cs="Times New Roman"/>
      </w:rPr>
    </w:lvl>
    <w:lvl w:ilvl="8" w:tentative="0">
      <w:start w:val="1"/>
      <w:numFmt w:val="lowerRoman"/>
      <w:lvlText w:val="%9."/>
      <w:lvlJc w:val="right"/>
      <w:pPr>
        <w:tabs>
          <w:tab w:val="left" w:pos="700"/>
        </w:tabs>
        <w:ind w:left="544" w:hanging="544"/>
      </w:pPr>
      <w:rPr>
        <w:rFonts w:hint="eastAsia" w:cs="Times New Roman"/>
      </w:rPr>
    </w:lvl>
  </w:abstractNum>
  <w:abstractNum w:abstractNumId="9">
    <w:nsid w:val="3F876176"/>
    <w:multiLevelType w:val="multilevel"/>
    <w:tmpl w:val="3F876176"/>
    <w:lvl w:ilvl="0" w:tentative="0">
      <w:start w:val="1"/>
      <w:numFmt w:val="decimal"/>
      <w:lvlText w:val="%1."/>
      <w:lvlJc w:val="left"/>
      <w:pPr>
        <w:ind w:left="360" w:hanging="360"/>
      </w:pPr>
      <w:rPr>
        <w:rFonts w:hint="default" w:ascii="黑体" w:hAnsi="黑体" w:eastAsia="黑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4C50F90"/>
    <w:multiLevelType w:val="multilevel"/>
    <w:tmpl w:val="44C50F90"/>
    <w:lvl w:ilvl="0" w:tentative="0">
      <w:start w:val="1"/>
      <w:numFmt w:val="lowerLetter"/>
      <w:pStyle w:val="136"/>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pStyle w:val="101"/>
      <w:lvlText w:val="%2)"/>
      <w:lvlJc w:val="left"/>
      <w:pPr>
        <w:tabs>
          <w:tab w:val="left" w:pos="1260"/>
        </w:tabs>
        <w:ind w:left="1259" w:hanging="419"/>
      </w:pPr>
      <w:rPr>
        <w:rFonts w:hint="eastAsia" w:cs="Times New Roman"/>
      </w:rPr>
    </w:lvl>
    <w:lvl w:ilvl="2" w:tentative="0">
      <w:start w:val="1"/>
      <w:numFmt w:val="decimal"/>
      <w:pStyle w:val="132"/>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11">
    <w:nsid w:val="499C1D93"/>
    <w:multiLevelType w:val="multilevel"/>
    <w:tmpl w:val="499C1D93"/>
    <w:lvl w:ilvl="0" w:tentative="0">
      <w:start w:val="1"/>
      <w:numFmt w:val="decimal"/>
      <w:pStyle w:val="48"/>
      <w:suff w:val="nothing"/>
      <w:lvlText w:val="%1　"/>
      <w:lvlJc w:val="left"/>
      <w:rPr>
        <w:rFonts w:hint="eastAsia" w:ascii="黑体" w:hAnsi="Times New Roman" w:eastAsia="黑体" w:cs="Times New Roman"/>
        <w:b w:val="0"/>
        <w:i w:val="0"/>
        <w:sz w:val="21"/>
        <w:szCs w:val="21"/>
      </w:rPr>
    </w:lvl>
    <w:lvl w:ilvl="1" w:tentative="0">
      <w:start w:val="1"/>
      <w:numFmt w:val="decimal"/>
      <w:pStyle w:val="47"/>
      <w:suff w:val="nothing"/>
      <w:lvlText w:val="%1.%2　"/>
      <w:lvlJc w:val="left"/>
      <w:rPr>
        <w:b w:val="0"/>
        <w:i w:val="0"/>
        <w:caps w:val="0"/>
        <w:outline w:val="0"/>
        <w:vanish w:val="0"/>
        <w:sz w:val="21"/>
        <w:szCs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4B733A5F"/>
    <w:multiLevelType w:val="multilevel"/>
    <w:tmpl w:val="4B733A5F"/>
    <w:lvl w:ilvl="0" w:tentative="0">
      <w:start w:val="1"/>
      <w:numFmt w:val="decimal"/>
      <w:pStyle w:val="147"/>
      <w:suff w:val="nothing"/>
      <w:lvlText w:val="示例%1："/>
      <w:lvlJc w:val="left"/>
      <w:pPr>
        <w:ind w:firstLine="363"/>
      </w:pPr>
      <w:rPr>
        <w:rFonts w:hint="eastAsia" w:ascii="黑体" w:hAnsi="Times New Roman" w:eastAsia="黑体" w:cs="Times New Roman"/>
        <w:b w:val="0"/>
        <w:i w:val="0"/>
        <w:sz w:val="18"/>
        <w:szCs w:val="18"/>
        <w:vertAlign w:val="baseline"/>
      </w:rPr>
    </w:lvl>
    <w:lvl w:ilvl="1" w:tentative="0">
      <w:start w:val="1"/>
      <w:numFmt w:val="none"/>
      <w:suff w:val="space"/>
      <w:lvlText w:val=""/>
      <w:lvlJc w:val="left"/>
      <w:rPr>
        <w:rFonts w:hint="eastAsia" w:cs="Times New Roman"/>
        <w:vertAlign w:val="baseline"/>
      </w:rPr>
    </w:lvl>
    <w:lvl w:ilvl="2" w:tentative="0">
      <w:start w:val="1"/>
      <w:numFmt w:val="decimal"/>
      <w:suff w:val="space"/>
      <w:lvlText w:val="2.2.%3"/>
      <w:lvlJc w:val="left"/>
      <w:rPr>
        <w:rFonts w:hint="eastAsia" w:cs="Times New Roman"/>
        <w:vertAlign w:val="baseline"/>
      </w:rPr>
    </w:lvl>
    <w:lvl w:ilvl="3" w:tentative="0">
      <w:start w:val="1"/>
      <w:numFmt w:val="decimal"/>
      <w:lvlText w:val="%4."/>
      <w:lvlJc w:val="left"/>
      <w:pPr>
        <w:tabs>
          <w:tab w:val="left" w:pos="0"/>
        </w:tabs>
        <w:ind w:left="992" w:hanging="629"/>
      </w:pPr>
      <w:rPr>
        <w:rFonts w:hint="eastAsia" w:cs="Times New Roman"/>
        <w:vertAlign w:val="baseline"/>
      </w:rPr>
    </w:lvl>
    <w:lvl w:ilvl="4" w:tentative="0">
      <w:start w:val="1"/>
      <w:numFmt w:val="lowerLetter"/>
      <w:lvlText w:val="%5)"/>
      <w:lvlJc w:val="left"/>
      <w:pPr>
        <w:tabs>
          <w:tab w:val="left" w:pos="0"/>
        </w:tabs>
        <w:ind w:left="992" w:hanging="629"/>
      </w:pPr>
      <w:rPr>
        <w:rFonts w:hint="eastAsia" w:cs="Times New Roman"/>
        <w:vertAlign w:val="baseline"/>
      </w:rPr>
    </w:lvl>
    <w:lvl w:ilvl="5" w:tentative="0">
      <w:start w:val="1"/>
      <w:numFmt w:val="lowerRoman"/>
      <w:lvlText w:val="%6."/>
      <w:lvlJc w:val="right"/>
      <w:pPr>
        <w:tabs>
          <w:tab w:val="left" w:pos="0"/>
        </w:tabs>
        <w:ind w:left="992" w:hanging="629"/>
      </w:pPr>
      <w:rPr>
        <w:rFonts w:hint="eastAsia" w:cs="Times New Roman"/>
        <w:vertAlign w:val="baseline"/>
      </w:rPr>
    </w:lvl>
    <w:lvl w:ilvl="6" w:tentative="0">
      <w:start w:val="1"/>
      <w:numFmt w:val="decimal"/>
      <w:lvlText w:val="%7."/>
      <w:lvlJc w:val="left"/>
      <w:pPr>
        <w:tabs>
          <w:tab w:val="left" w:pos="0"/>
        </w:tabs>
        <w:ind w:left="992" w:hanging="629"/>
      </w:pPr>
      <w:rPr>
        <w:rFonts w:hint="eastAsia" w:cs="Times New Roman"/>
        <w:vertAlign w:val="baseline"/>
      </w:rPr>
    </w:lvl>
    <w:lvl w:ilvl="7" w:tentative="0">
      <w:start w:val="1"/>
      <w:numFmt w:val="lowerLetter"/>
      <w:lvlText w:val="%8)"/>
      <w:lvlJc w:val="left"/>
      <w:pPr>
        <w:tabs>
          <w:tab w:val="left" w:pos="0"/>
        </w:tabs>
        <w:ind w:left="992" w:hanging="629"/>
      </w:pPr>
      <w:rPr>
        <w:rFonts w:hint="eastAsia" w:cs="Times New Roman"/>
        <w:vertAlign w:val="baseline"/>
      </w:rPr>
    </w:lvl>
    <w:lvl w:ilvl="8" w:tentative="0">
      <w:start w:val="1"/>
      <w:numFmt w:val="lowerRoman"/>
      <w:lvlText w:val="%9."/>
      <w:lvlJc w:val="right"/>
      <w:pPr>
        <w:tabs>
          <w:tab w:val="left" w:pos="0"/>
        </w:tabs>
        <w:ind w:left="992" w:hanging="629"/>
      </w:pPr>
      <w:rPr>
        <w:rFonts w:hint="eastAsia" w:cs="Times New Roman"/>
        <w:vertAlign w:val="baseline"/>
      </w:rPr>
    </w:lvl>
  </w:abstractNum>
  <w:abstractNum w:abstractNumId="13">
    <w:nsid w:val="54003ACC"/>
    <w:multiLevelType w:val="multilevel"/>
    <w:tmpl w:val="54003A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7C2AF5"/>
    <w:multiLevelType w:val="multilevel"/>
    <w:tmpl w:val="557C2AF5"/>
    <w:lvl w:ilvl="0" w:tentative="0">
      <w:start w:val="1"/>
      <w:numFmt w:val="decimal"/>
      <w:pStyle w:val="149"/>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5">
    <w:nsid w:val="58DA0416"/>
    <w:multiLevelType w:val="singleLevel"/>
    <w:tmpl w:val="58DA0416"/>
    <w:lvl w:ilvl="0" w:tentative="0">
      <w:start w:val="1"/>
      <w:numFmt w:val="lowerLetter"/>
      <w:suff w:val="nothing"/>
      <w:lvlText w:val="%1)"/>
      <w:lvlJc w:val="left"/>
    </w:lvl>
  </w:abstractNum>
  <w:abstractNum w:abstractNumId="16">
    <w:nsid w:val="60B55DC2"/>
    <w:multiLevelType w:val="multilevel"/>
    <w:tmpl w:val="60B55DC2"/>
    <w:lvl w:ilvl="0" w:tentative="0">
      <w:start w:val="1"/>
      <w:numFmt w:val="upperLetter"/>
      <w:pStyle w:val="153"/>
      <w:lvlText w:val="%1"/>
      <w:lvlJc w:val="left"/>
      <w:pPr>
        <w:tabs>
          <w:tab w:val="left" w:pos="0"/>
        </w:tabs>
        <w:ind w:hanging="425"/>
      </w:pPr>
      <w:rPr>
        <w:rFonts w:hint="eastAsia" w:cs="Times New Roman"/>
      </w:rPr>
    </w:lvl>
    <w:lvl w:ilvl="1" w:tentative="0">
      <w:start w:val="1"/>
      <w:numFmt w:val="decimal"/>
      <w:pStyle w:val="97"/>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17">
    <w:nsid w:val="626D2BD5"/>
    <w:multiLevelType w:val="multilevel"/>
    <w:tmpl w:val="626D2BD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46260FA"/>
    <w:multiLevelType w:val="multilevel"/>
    <w:tmpl w:val="646260FA"/>
    <w:lvl w:ilvl="0" w:tentative="0">
      <w:start w:val="1"/>
      <w:numFmt w:val="decimal"/>
      <w:pStyle w:val="82"/>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9">
    <w:nsid w:val="657D3FBC"/>
    <w:multiLevelType w:val="multilevel"/>
    <w:tmpl w:val="657D3FBC"/>
    <w:lvl w:ilvl="0" w:tentative="0">
      <w:start w:val="1"/>
      <w:numFmt w:val="upperLetter"/>
      <w:pStyle w:val="150"/>
      <w:suff w:val="nothing"/>
      <w:lvlText w:val="附　录　%1"/>
      <w:lvlJc w:val="left"/>
      <w:rPr>
        <w:rFonts w:hint="eastAsia" w:ascii="黑体" w:hAnsi="Times New Roman" w:eastAsia="黑体" w:cs="Times New Roman"/>
        <w:b w:val="0"/>
        <w:i w:val="0"/>
        <w:spacing w:val="0"/>
        <w:w w:val="100"/>
        <w:sz w:val="21"/>
      </w:rPr>
    </w:lvl>
    <w:lvl w:ilvl="1" w:tentative="0">
      <w:start w:val="1"/>
      <w:numFmt w:val="decimal"/>
      <w:pStyle w:val="76"/>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75"/>
      <w:suff w:val="nothing"/>
      <w:lvlText w:val="%1.%2.%3　"/>
      <w:lvlJc w:val="left"/>
      <w:rPr>
        <w:rFonts w:hint="eastAsia" w:ascii="黑体" w:hAnsi="Times New Roman" w:eastAsia="黑体" w:cs="Times New Roman"/>
        <w:b w:val="0"/>
        <w:i w:val="0"/>
        <w:sz w:val="21"/>
      </w:rPr>
    </w:lvl>
    <w:lvl w:ilvl="3" w:tentative="0">
      <w:start w:val="1"/>
      <w:numFmt w:val="decimal"/>
      <w:pStyle w:val="102"/>
      <w:suff w:val="nothing"/>
      <w:lvlText w:val="%1.%2.%3.%4　"/>
      <w:lvlJc w:val="left"/>
      <w:rPr>
        <w:rFonts w:hint="eastAsia" w:ascii="黑体" w:hAnsi="Times New Roman" w:eastAsia="黑体" w:cs="Times New Roman"/>
        <w:b w:val="0"/>
        <w:i w:val="0"/>
        <w:sz w:val="21"/>
      </w:rPr>
    </w:lvl>
    <w:lvl w:ilvl="4" w:tentative="0">
      <w:start w:val="1"/>
      <w:numFmt w:val="decimal"/>
      <w:pStyle w:val="110"/>
      <w:suff w:val="nothing"/>
      <w:lvlText w:val="%1.%2.%3.%4.%5　"/>
      <w:lvlJc w:val="left"/>
      <w:rPr>
        <w:rFonts w:hint="eastAsia" w:ascii="黑体" w:hAnsi="Times New Roman" w:eastAsia="黑体" w:cs="Times New Roman"/>
        <w:b w:val="0"/>
        <w:i w:val="0"/>
        <w:sz w:val="21"/>
      </w:rPr>
    </w:lvl>
    <w:lvl w:ilvl="5" w:tentative="0">
      <w:start w:val="1"/>
      <w:numFmt w:val="decimal"/>
      <w:pStyle w:val="109"/>
      <w:suff w:val="nothing"/>
      <w:lvlText w:val="%1.%2.%3.%4.%5.%6　"/>
      <w:lvlJc w:val="left"/>
      <w:rPr>
        <w:rFonts w:hint="eastAsia" w:ascii="黑体" w:hAnsi="Times New Roman" w:eastAsia="黑体" w:cs="Times New Roman"/>
        <w:b w:val="0"/>
        <w:i w:val="0"/>
        <w:sz w:val="21"/>
      </w:rPr>
    </w:lvl>
    <w:lvl w:ilvl="6" w:tentative="0">
      <w:start w:val="1"/>
      <w:numFmt w:val="decimal"/>
      <w:pStyle w:val="108"/>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0">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33"/>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21">
    <w:nsid w:val="6DBF04F4"/>
    <w:multiLevelType w:val="multilevel"/>
    <w:tmpl w:val="6DBF04F4"/>
    <w:lvl w:ilvl="0" w:tentative="0">
      <w:start w:val="1"/>
      <w:numFmt w:val="none"/>
      <w:pStyle w:val="100"/>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abstractNum w:abstractNumId="22">
    <w:nsid w:val="70F82080"/>
    <w:multiLevelType w:val="multilevel"/>
    <w:tmpl w:val="70F82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1"/>
  </w:num>
  <w:num w:numId="3">
    <w:abstractNumId w:val="2"/>
  </w:num>
  <w:num w:numId="4">
    <w:abstractNumId w:val="19"/>
  </w:num>
  <w:num w:numId="5">
    <w:abstractNumId w:val="18"/>
  </w:num>
  <w:num w:numId="6">
    <w:abstractNumId w:val="7"/>
  </w:num>
  <w:num w:numId="7">
    <w:abstractNumId w:val="5"/>
  </w:num>
  <w:num w:numId="8">
    <w:abstractNumId w:val="16"/>
  </w:num>
  <w:num w:numId="9">
    <w:abstractNumId w:val="21"/>
  </w:num>
  <w:num w:numId="10">
    <w:abstractNumId w:val="10"/>
  </w:num>
  <w:num w:numId="11">
    <w:abstractNumId w:val="3"/>
  </w:num>
  <w:num w:numId="12">
    <w:abstractNumId w:val="20"/>
  </w:num>
  <w:num w:numId="13">
    <w:abstractNumId w:val="6"/>
  </w:num>
  <w:num w:numId="14">
    <w:abstractNumId w:val="0"/>
  </w:num>
  <w:num w:numId="15">
    <w:abstractNumId w:val="4"/>
  </w:num>
  <w:num w:numId="16">
    <w:abstractNumId w:val="12"/>
  </w:num>
  <w:num w:numId="17">
    <w:abstractNumId w:val="14"/>
  </w:num>
  <w:num w:numId="18">
    <w:abstractNumId w:val="17"/>
  </w:num>
  <w:num w:numId="19">
    <w:abstractNumId w:val="15"/>
  </w:num>
  <w:num w:numId="20">
    <w:abstractNumId w:val="9"/>
  </w:num>
  <w:num w:numId="21">
    <w:abstractNumId w:val="13"/>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JiYzRjZDg4ODIxMmZkMzVjYzYxNzIzMDEwYjJjY2IifQ=="/>
  </w:docVars>
  <w:rsids>
    <w:rsidRoot w:val="004B7595"/>
    <w:rsid w:val="004B7595"/>
    <w:rsid w:val="00B52E64"/>
    <w:rsid w:val="3FD17466"/>
    <w:rsid w:val="5AC0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43"/>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3"/>
    <w:basedOn w:val="1"/>
    <w:next w:val="1"/>
    <w:link w:val="44"/>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34">
    <w:name w:val="Default Paragraph Font"/>
    <w:semiHidden/>
    <w:unhideWhenUsed/>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99"/>
    <w:pPr>
      <w:tabs>
        <w:tab w:val="right" w:leader="dot" w:pos="9241"/>
      </w:tabs>
      <w:ind w:firstLine="505" w:firstLineChars="500"/>
      <w:jc w:val="left"/>
    </w:pPr>
    <w:rPr>
      <w:rFonts w:ascii="宋体" w:hAnsi="Times New Roman" w:cs="Times New Roman"/>
      <w:szCs w:val="21"/>
    </w:rPr>
  </w:style>
  <w:style w:type="paragraph" w:styleId="5">
    <w:name w:val="index 8"/>
    <w:basedOn w:val="1"/>
    <w:next w:val="1"/>
    <w:autoRedefine/>
    <w:qFormat/>
    <w:uiPriority w:val="99"/>
    <w:pPr>
      <w:ind w:left="1680" w:hanging="210"/>
      <w:jc w:val="left"/>
    </w:pPr>
    <w:rPr>
      <w:rFonts w:cs="Times New Roman"/>
      <w:sz w:val="20"/>
      <w:szCs w:val="20"/>
    </w:rPr>
  </w:style>
  <w:style w:type="paragraph" w:styleId="6">
    <w:name w:val="caption"/>
    <w:basedOn w:val="1"/>
    <w:next w:val="1"/>
    <w:qFormat/>
    <w:uiPriority w:val="99"/>
    <w:pPr>
      <w:spacing w:before="152" w:after="160"/>
    </w:pPr>
    <w:rPr>
      <w:rFonts w:ascii="Arial" w:hAnsi="Arial" w:eastAsia="黑体" w:cs="Arial"/>
      <w:sz w:val="20"/>
      <w:szCs w:val="20"/>
    </w:rPr>
  </w:style>
  <w:style w:type="paragraph" w:styleId="7">
    <w:name w:val="index 5"/>
    <w:basedOn w:val="1"/>
    <w:next w:val="1"/>
    <w:autoRedefine/>
    <w:qFormat/>
    <w:uiPriority w:val="99"/>
    <w:pPr>
      <w:ind w:left="1050" w:hanging="210"/>
      <w:jc w:val="left"/>
    </w:pPr>
    <w:rPr>
      <w:rFonts w:cs="Times New Roman"/>
      <w:sz w:val="20"/>
      <w:szCs w:val="20"/>
    </w:rPr>
  </w:style>
  <w:style w:type="paragraph" w:styleId="8">
    <w:name w:val="Document Map"/>
    <w:basedOn w:val="1"/>
    <w:link w:val="51"/>
    <w:autoRedefine/>
    <w:semiHidden/>
    <w:qFormat/>
    <w:uiPriority w:val="99"/>
    <w:pPr>
      <w:shd w:val="clear" w:color="auto" w:fill="000080"/>
    </w:pPr>
    <w:rPr>
      <w:rFonts w:ascii="Times New Roman" w:hAnsi="Times New Roman" w:cs="Times New Roman"/>
      <w:szCs w:val="24"/>
    </w:rPr>
  </w:style>
  <w:style w:type="paragraph" w:styleId="9">
    <w:name w:val="index 6"/>
    <w:basedOn w:val="1"/>
    <w:next w:val="1"/>
    <w:autoRedefine/>
    <w:qFormat/>
    <w:uiPriority w:val="99"/>
    <w:pPr>
      <w:ind w:left="1260" w:hanging="210"/>
      <w:jc w:val="left"/>
    </w:pPr>
    <w:rPr>
      <w:rFonts w:cs="Times New Roman"/>
      <w:sz w:val="20"/>
      <w:szCs w:val="20"/>
    </w:rPr>
  </w:style>
  <w:style w:type="paragraph" w:styleId="10">
    <w:name w:val="index 4"/>
    <w:basedOn w:val="1"/>
    <w:next w:val="1"/>
    <w:autoRedefine/>
    <w:qFormat/>
    <w:uiPriority w:val="99"/>
    <w:pPr>
      <w:ind w:left="840" w:hanging="210"/>
      <w:jc w:val="left"/>
    </w:pPr>
    <w:rPr>
      <w:rFonts w:cs="Times New Roman"/>
      <w:sz w:val="20"/>
      <w:szCs w:val="20"/>
    </w:rPr>
  </w:style>
  <w:style w:type="paragraph" w:styleId="11">
    <w:name w:val="toc 5"/>
    <w:basedOn w:val="1"/>
    <w:next w:val="1"/>
    <w:autoRedefine/>
    <w:semiHidden/>
    <w:qFormat/>
    <w:uiPriority w:val="99"/>
    <w:pPr>
      <w:tabs>
        <w:tab w:val="right" w:leader="dot" w:pos="9241"/>
      </w:tabs>
      <w:ind w:firstLine="300" w:firstLineChars="300"/>
      <w:jc w:val="left"/>
    </w:pPr>
    <w:rPr>
      <w:rFonts w:ascii="宋体" w:hAnsi="Times New Roman" w:cs="Times New Roman"/>
      <w:szCs w:val="21"/>
    </w:rPr>
  </w:style>
  <w:style w:type="paragraph" w:styleId="12">
    <w:name w:val="toc 3"/>
    <w:basedOn w:val="1"/>
    <w:next w:val="1"/>
    <w:qFormat/>
    <w:uiPriority w:val="39"/>
    <w:pPr>
      <w:tabs>
        <w:tab w:val="right" w:leader="dot" w:pos="9241"/>
      </w:tabs>
      <w:ind w:firstLine="102" w:firstLineChars="100"/>
      <w:jc w:val="left"/>
    </w:pPr>
    <w:rPr>
      <w:rFonts w:ascii="宋体" w:hAnsi="Times New Roman" w:cs="Times New Roman"/>
      <w:szCs w:val="21"/>
    </w:rPr>
  </w:style>
  <w:style w:type="paragraph" w:styleId="13">
    <w:name w:val="toc 8"/>
    <w:basedOn w:val="1"/>
    <w:next w:val="1"/>
    <w:autoRedefine/>
    <w:semiHidden/>
    <w:qFormat/>
    <w:uiPriority w:val="99"/>
    <w:pPr>
      <w:tabs>
        <w:tab w:val="right" w:leader="dot" w:pos="9241"/>
      </w:tabs>
      <w:ind w:firstLine="607" w:firstLineChars="600"/>
      <w:jc w:val="left"/>
    </w:pPr>
    <w:rPr>
      <w:rFonts w:ascii="宋体" w:hAnsi="Times New Roman" w:cs="Times New Roman"/>
      <w:szCs w:val="21"/>
    </w:rPr>
  </w:style>
  <w:style w:type="paragraph" w:styleId="14">
    <w:name w:val="index 3"/>
    <w:basedOn w:val="1"/>
    <w:next w:val="1"/>
    <w:autoRedefine/>
    <w:qFormat/>
    <w:uiPriority w:val="99"/>
    <w:pPr>
      <w:ind w:left="630" w:hanging="210"/>
      <w:jc w:val="left"/>
    </w:pPr>
    <w:rPr>
      <w:rFonts w:cs="Times New Roman"/>
      <w:sz w:val="20"/>
      <w:szCs w:val="20"/>
    </w:rPr>
  </w:style>
  <w:style w:type="paragraph" w:styleId="15">
    <w:name w:val="endnote text"/>
    <w:basedOn w:val="1"/>
    <w:link w:val="52"/>
    <w:autoRedefine/>
    <w:semiHidden/>
    <w:qFormat/>
    <w:uiPriority w:val="99"/>
    <w:pPr>
      <w:snapToGrid w:val="0"/>
      <w:jc w:val="left"/>
    </w:pPr>
    <w:rPr>
      <w:rFonts w:ascii="Times New Roman" w:hAnsi="Times New Roman" w:cs="Times New Roman"/>
      <w:szCs w:val="24"/>
    </w:rPr>
  </w:style>
  <w:style w:type="paragraph" w:styleId="16">
    <w:name w:val="Balloon Text"/>
    <w:basedOn w:val="1"/>
    <w:link w:val="45"/>
    <w:autoRedefine/>
    <w:qFormat/>
    <w:uiPriority w:val="99"/>
    <w:rPr>
      <w:sz w:val="18"/>
      <w:szCs w:val="18"/>
    </w:rPr>
  </w:style>
  <w:style w:type="paragraph" w:styleId="17">
    <w:name w:val="footer"/>
    <w:basedOn w:val="1"/>
    <w:link w:val="42"/>
    <w:autoRedefine/>
    <w:unhideWhenUsed/>
    <w:qFormat/>
    <w:uiPriority w:val="99"/>
    <w:pPr>
      <w:tabs>
        <w:tab w:val="center" w:pos="4153"/>
        <w:tab w:val="right" w:pos="8306"/>
      </w:tabs>
      <w:snapToGrid w:val="0"/>
      <w:jc w:val="left"/>
    </w:pPr>
    <w:rPr>
      <w:sz w:val="18"/>
      <w:szCs w:val="18"/>
    </w:rPr>
  </w:style>
  <w:style w:type="paragraph" w:styleId="18">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hAnsi="Times New Roman" w:cs="Times New Roman"/>
      <w:szCs w:val="21"/>
    </w:rPr>
  </w:style>
  <w:style w:type="paragraph" w:styleId="20">
    <w:name w:val="toc 4"/>
    <w:basedOn w:val="1"/>
    <w:next w:val="1"/>
    <w:autoRedefine/>
    <w:semiHidden/>
    <w:qFormat/>
    <w:uiPriority w:val="99"/>
    <w:pPr>
      <w:tabs>
        <w:tab w:val="right" w:leader="dot" w:pos="9241"/>
      </w:tabs>
      <w:ind w:firstLine="198" w:firstLineChars="200"/>
      <w:jc w:val="left"/>
    </w:pPr>
    <w:rPr>
      <w:rFonts w:ascii="宋体" w:hAnsi="Times New Roman" w:cs="Times New Roman"/>
      <w:szCs w:val="21"/>
    </w:rPr>
  </w:style>
  <w:style w:type="paragraph" w:styleId="21">
    <w:name w:val="index heading"/>
    <w:basedOn w:val="1"/>
    <w:next w:val="22"/>
    <w:autoRedefine/>
    <w:qFormat/>
    <w:uiPriority w:val="99"/>
    <w:pPr>
      <w:spacing w:before="120" w:after="120"/>
      <w:jc w:val="center"/>
    </w:pPr>
    <w:rPr>
      <w:rFonts w:cs="Times New Roman"/>
      <w:b/>
      <w:bCs/>
      <w:iCs/>
      <w:szCs w:val="20"/>
    </w:rPr>
  </w:style>
  <w:style w:type="paragraph" w:styleId="22">
    <w:name w:val="index 1"/>
    <w:basedOn w:val="1"/>
    <w:next w:val="1"/>
    <w:autoRedefine/>
    <w:unhideWhenUsed/>
    <w:qFormat/>
    <w:uiPriority w:val="99"/>
  </w:style>
  <w:style w:type="paragraph" w:styleId="23">
    <w:name w:val="footnote text"/>
    <w:basedOn w:val="1"/>
    <w:link w:val="53"/>
    <w:autoRedefine/>
    <w:qFormat/>
    <w:uiPriority w:val="0"/>
    <w:pPr>
      <w:numPr>
        <w:ilvl w:val="0"/>
        <w:numId w:val="1"/>
      </w:numPr>
      <w:snapToGrid w:val="0"/>
      <w:jc w:val="left"/>
    </w:pPr>
    <w:rPr>
      <w:rFonts w:ascii="宋体" w:hAnsi="Times New Roman" w:cs="Times New Roman"/>
      <w:sz w:val="18"/>
      <w:szCs w:val="18"/>
    </w:rPr>
  </w:style>
  <w:style w:type="paragraph" w:styleId="24">
    <w:name w:val="toc 6"/>
    <w:basedOn w:val="1"/>
    <w:next w:val="1"/>
    <w:semiHidden/>
    <w:qFormat/>
    <w:uiPriority w:val="99"/>
    <w:pPr>
      <w:tabs>
        <w:tab w:val="right" w:leader="dot" w:pos="9241"/>
      </w:tabs>
      <w:ind w:firstLine="403" w:firstLineChars="400"/>
      <w:jc w:val="left"/>
    </w:pPr>
    <w:rPr>
      <w:rFonts w:ascii="宋体" w:hAnsi="Times New Roman" w:cs="Times New Roman"/>
      <w:szCs w:val="21"/>
    </w:rPr>
  </w:style>
  <w:style w:type="paragraph" w:styleId="25">
    <w:name w:val="index 7"/>
    <w:basedOn w:val="1"/>
    <w:next w:val="1"/>
    <w:qFormat/>
    <w:uiPriority w:val="99"/>
    <w:pPr>
      <w:ind w:left="1470" w:hanging="210"/>
      <w:jc w:val="left"/>
    </w:pPr>
    <w:rPr>
      <w:rFonts w:cs="Times New Roman"/>
      <w:sz w:val="20"/>
      <w:szCs w:val="20"/>
    </w:rPr>
  </w:style>
  <w:style w:type="paragraph" w:styleId="26">
    <w:name w:val="index 9"/>
    <w:basedOn w:val="1"/>
    <w:next w:val="1"/>
    <w:autoRedefine/>
    <w:uiPriority w:val="99"/>
    <w:pPr>
      <w:ind w:left="1890" w:hanging="210"/>
      <w:jc w:val="left"/>
    </w:pPr>
    <w:rPr>
      <w:rFonts w:cs="Times New Roman"/>
      <w:sz w:val="20"/>
      <w:szCs w:val="20"/>
    </w:rPr>
  </w:style>
  <w:style w:type="paragraph" w:styleId="27">
    <w:name w:val="toc 2"/>
    <w:basedOn w:val="1"/>
    <w:next w:val="1"/>
    <w:autoRedefine/>
    <w:qFormat/>
    <w:uiPriority w:val="39"/>
    <w:pPr>
      <w:tabs>
        <w:tab w:val="right" w:leader="dot" w:pos="9241"/>
      </w:tabs>
    </w:pPr>
    <w:rPr>
      <w:rFonts w:ascii="宋体" w:hAnsi="Times New Roman" w:cs="Times New Roman"/>
      <w:szCs w:val="21"/>
    </w:rPr>
  </w:style>
  <w:style w:type="paragraph" w:styleId="28">
    <w:name w:val="toc 9"/>
    <w:basedOn w:val="1"/>
    <w:next w:val="1"/>
    <w:autoRedefine/>
    <w:semiHidden/>
    <w:qFormat/>
    <w:uiPriority w:val="99"/>
    <w:pPr>
      <w:ind w:left="1470"/>
      <w:jc w:val="left"/>
    </w:pPr>
    <w:rPr>
      <w:rFonts w:ascii="Times New Roman" w:hAnsi="Times New Roman" w:cs="Times New Roman"/>
      <w:sz w:val="20"/>
      <w:szCs w:val="20"/>
    </w:rPr>
  </w:style>
  <w:style w:type="paragraph" w:styleId="29">
    <w:name w:val="Normal (Web)"/>
    <w:basedOn w:val="1"/>
    <w:autoRedefine/>
    <w:qFormat/>
    <w:uiPriority w:val="99"/>
    <w:pPr>
      <w:widowControl/>
    </w:pPr>
    <w:rPr>
      <w:rFonts w:ascii="宋体" w:hAnsi="宋体"/>
      <w:kern w:val="0"/>
      <w:sz w:val="24"/>
      <w:szCs w:val="24"/>
    </w:rPr>
  </w:style>
  <w:style w:type="paragraph" w:styleId="30">
    <w:name w:val="index 2"/>
    <w:basedOn w:val="1"/>
    <w:next w:val="1"/>
    <w:autoRedefine/>
    <w:qFormat/>
    <w:uiPriority w:val="99"/>
    <w:pPr>
      <w:ind w:left="420" w:hanging="210"/>
      <w:jc w:val="left"/>
    </w:pPr>
    <w:rPr>
      <w:rFonts w:cs="Times New Roman"/>
      <w:sz w:val="20"/>
      <w:szCs w:val="20"/>
    </w:rPr>
  </w:style>
  <w:style w:type="paragraph" w:styleId="31">
    <w:name w:val="Title"/>
    <w:basedOn w:val="1"/>
    <w:next w:val="1"/>
    <w:link w:val="54"/>
    <w:autoRedefine/>
    <w:qFormat/>
    <w:uiPriority w:val="99"/>
    <w:pPr>
      <w:spacing w:before="240" w:after="60"/>
      <w:jc w:val="center"/>
      <w:outlineLvl w:val="0"/>
    </w:pPr>
    <w:rPr>
      <w:rFonts w:ascii="Cambria" w:hAnsi="Cambria" w:eastAsiaTheme="minorEastAsia" w:cstheme="minorBidi"/>
      <w:b/>
      <w:sz w:val="32"/>
    </w:rPr>
  </w:style>
  <w:style w:type="table" w:styleId="33">
    <w:name w:val="Table Grid"/>
    <w:basedOn w:val="32"/>
    <w:autoRedefine/>
    <w:qFormat/>
    <w:uiPriority w:val="59"/>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autoRedefine/>
    <w:qFormat/>
    <w:uiPriority w:val="99"/>
    <w:rPr>
      <w:rFonts w:cs="Times New Roman"/>
      <w:b/>
    </w:rPr>
  </w:style>
  <w:style w:type="character" w:styleId="36">
    <w:name w:val="endnote reference"/>
    <w:autoRedefine/>
    <w:semiHidden/>
    <w:qFormat/>
    <w:uiPriority w:val="99"/>
    <w:rPr>
      <w:rFonts w:cs="Times New Roman"/>
      <w:vertAlign w:val="superscript"/>
    </w:rPr>
  </w:style>
  <w:style w:type="character" w:styleId="37">
    <w:name w:val="page number"/>
    <w:autoRedefine/>
    <w:qFormat/>
    <w:uiPriority w:val="99"/>
    <w:rPr>
      <w:rFonts w:ascii="Times New Roman" w:hAnsi="Times New Roman" w:eastAsia="宋体" w:cs="Times New Roman"/>
      <w:sz w:val="18"/>
    </w:rPr>
  </w:style>
  <w:style w:type="character" w:styleId="38">
    <w:name w:val="FollowedHyperlink"/>
    <w:autoRedefine/>
    <w:qFormat/>
    <w:uiPriority w:val="99"/>
    <w:rPr>
      <w:rFonts w:cs="Times New Roman"/>
      <w:color w:val="800080"/>
      <w:u w:val="single"/>
    </w:rPr>
  </w:style>
  <w:style w:type="character" w:styleId="39">
    <w:name w:val="Hyperlink"/>
    <w:basedOn w:val="34"/>
    <w:autoRedefine/>
    <w:qFormat/>
    <w:uiPriority w:val="99"/>
    <w:rPr>
      <w:color w:val="333333"/>
      <w:u w:val="none"/>
    </w:rPr>
  </w:style>
  <w:style w:type="character" w:styleId="40">
    <w:name w:val="footnote reference"/>
    <w:semiHidden/>
    <w:qFormat/>
    <w:uiPriority w:val="99"/>
    <w:rPr>
      <w:rFonts w:cs="Times New Roman"/>
      <w:vertAlign w:val="superscript"/>
    </w:rPr>
  </w:style>
  <w:style w:type="character" w:customStyle="1" w:styleId="41">
    <w:name w:val="页眉 Char"/>
    <w:basedOn w:val="34"/>
    <w:link w:val="18"/>
    <w:uiPriority w:val="99"/>
    <w:rPr>
      <w:sz w:val="18"/>
      <w:szCs w:val="18"/>
    </w:rPr>
  </w:style>
  <w:style w:type="character" w:customStyle="1" w:styleId="42">
    <w:name w:val="页脚 Char"/>
    <w:basedOn w:val="34"/>
    <w:link w:val="17"/>
    <w:autoRedefine/>
    <w:qFormat/>
    <w:uiPriority w:val="99"/>
    <w:rPr>
      <w:sz w:val="18"/>
      <w:szCs w:val="18"/>
    </w:rPr>
  </w:style>
  <w:style w:type="character" w:customStyle="1" w:styleId="43">
    <w:name w:val="标题 1 Char"/>
    <w:basedOn w:val="34"/>
    <w:link w:val="2"/>
    <w:qFormat/>
    <w:uiPriority w:val="99"/>
    <w:rPr>
      <w:rFonts w:ascii="Times New Roman" w:hAnsi="Times New Roman" w:eastAsia="宋体" w:cs="Times New Roman"/>
      <w:b/>
      <w:bCs/>
      <w:kern w:val="44"/>
      <w:sz w:val="44"/>
      <w:szCs w:val="44"/>
    </w:rPr>
  </w:style>
  <w:style w:type="character" w:customStyle="1" w:styleId="44">
    <w:name w:val="标题 3 Char"/>
    <w:basedOn w:val="34"/>
    <w:link w:val="3"/>
    <w:autoRedefine/>
    <w:qFormat/>
    <w:uiPriority w:val="99"/>
    <w:rPr>
      <w:rFonts w:ascii="Times New Roman" w:hAnsi="Times New Roman" w:eastAsia="宋体" w:cs="Times New Roman"/>
      <w:b/>
      <w:bCs/>
      <w:sz w:val="32"/>
      <w:szCs w:val="32"/>
    </w:rPr>
  </w:style>
  <w:style w:type="character" w:customStyle="1" w:styleId="45">
    <w:name w:val="批注框文本 Char"/>
    <w:basedOn w:val="34"/>
    <w:link w:val="16"/>
    <w:autoRedefine/>
    <w:qFormat/>
    <w:uiPriority w:val="99"/>
    <w:rPr>
      <w:rFonts w:ascii="Calibri" w:hAnsi="Calibri" w:eastAsia="宋体" w:cs="宋体"/>
      <w:sz w:val="18"/>
      <w:szCs w:val="18"/>
    </w:rPr>
  </w:style>
  <w:style w:type="paragraph" w:customStyle="1" w:styleId="46">
    <w:name w:val="二级条标题"/>
    <w:basedOn w:val="47"/>
    <w:next w:val="1"/>
    <w:autoRedefine/>
    <w:qFormat/>
    <w:uiPriority w:val="0"/>
    <w:pPr>
      <w:numPr>
        <w:ilvl w:val="2"/>
        <w:numId w:val="0"/>
      </w:numPr>
      <w:spacing w:before="50" w:after="50"/>
      <w:outlineLvl w:val="3"/>
    </w:pPr>
  </w:style>
  <w:style w:type="paragraph" w:customStyle="1" w:styleId="47">
    <w:name w:val="一级条标题"/>
    <w:next w:val="1"/>
    <w:qFormat/>
    <w:uiPriority w:val="0"/>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48">
    <w:name w:val="章标题"/>
    <w:next w:val="1"/>
    <w:autoRedefine/>
    <w:qFormat/>
    <w:uiPriority w:val="0"/>
    <w:pPr>
      <w:numPr>
        <w:ilvl w:val="0"/>
        <w:numId w:val="2"/>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49">
    <w:name w:val="段"/>
    <w:link w:val="5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50">
    <w:name w:val="段 Char"/>
    <w:basedOn w:val="34"/>
    <w:link w:val="49"/>
    <w:qFormat/>
    <w:uiPriority w:val="0"/>
    <w:rPr>
      <w:rFonts w:ascii="宋体" w:hAnsi="Times New Roman" w:eastAsia="宋体" w:cs="Times New Roman"/>
      <w:kern w:val="0"/>
      <w:szCs w:val="20"/>
    </w:rPr>
  </w:style>
  <w:style w:type="character" w:customStyle="1" w:styleId="51">
    <w:name w:val="文档结构图 Char"/>
    <w:basedOn w:val="34"/>
    <w:link w:val="8"/>
    <w:autoRedefine/>
    <w:semiHidden/>
    <w:uiPriority w:val="99"/>
    <w:rPr>
      <w:rFonts w:ascii="Times New Roman" w:hAnsi="Times New Roman" w:eastAsia="宋体" w:cs="Times New Roman"/>
      <w:szCs w:val="24"/>
      <w:shd w:val="clear" w:color="auto" w:fill="000080"/>
    </w:rPr>
  </w:style>
  <w:style w:type="character" w:customStyle="1" w:styleId="52">
    <w:name w:val="尾注文本 Char"/>
    <w:basedOn w:val="34"/>
    <w:link w:val="15"/>
    <w:semiHidden/>
    <w:uiPriority w:val="99"/>
    <w:rPr>
      <w:rFonts w:ascii="Times New Roman" w:hAnsi="Times New Roman" w:eastAsia="宋体" w:cs="Times New Roman"/>
      <w:szCs w:val="24"/>
    </w:rPr>
  </w:style>
  <w:style w:type="character" w:customStyle="1" w:styleId="53">
    <w:name w:val="脚注文本 Char"/>
    <w:basedOn w:val="34"/>
    <w:link w:val="23"/>
    <w:uiPriority w:val="0"/>
    <w:rPr>
      <w:rFonts w:ascii="宋体" w:hAnsi="Times New Roman" w:eastAsia="宋体" w:cs="Times New Roman"/>
      <w:sz w:val="18"/>
      <w:szCs w:val="18"/>
    </w:rPr>
  </w:style>
  <w:style w:type="character" w:customStyle="1" w:styleId="54">
    <w:name w:val="标题 Char"/>
    <w:basedOn w:val="34"/>
    <w:link w:val="31"/>
    <w:qFormat/>
    <w:uiPriority w:val="99"/>
    <w:rPr>
      <w:rFonts w:ascii="Cambria" w:hAnsi="Cambria"/>
      <w:b/>
      <w:sz w:val="32"/>
    </w:rPr>
  </w:style>
  <w:style w:type="character" w:customStyle="1" w:styleId="55">
    <w:name w:val="发布"/>
    <w:qFormat/>
    <w:uiPriority w:val="0"/>
    <w:rPr>
      <w:rFonts w:ascii="黑体" w:eastAsia="黑体"/>
      <w:spacing w:val="85"/>
      <w:w w:val="100"/>
      <w:position w:val="3"/>
      <w:sz w:val="28"/>
    </w:rPr>
  </w:style>
  <w:style w:type="paragraph" w:customStyle="1" w:styleId="5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57">
    <w:name w:val="封面标准文稿类别"/>
    <w:basedOn w:val="58"/>
    <w:qFormat/>
    <w:uiPriority w:val="0"/>
    <w:pPr>
      <w:framePr w:wrap="around"/>
      <w:spacing w:after="160" w:line="240" w:lineRule="auto"/>
    </w:pPr>
    <w:rPr>
      <w:sz w:val="24"/>
    </w:rPr>
  </w:style>
  <w:style w:type="paragraph" w:customStyle="1" w:styleId="58">
    <w:name w:val="封面一致性程度标识"/>
    <w:basedOn w:val="59"/>
    <w:qFormat/>
    <w:uiPriority w:val="0"/>
    <w:pPr>
      <w:framePr w:wrap="around"/>
      <w:spacing w:before="440"/>
    </w:pPr>
    <w:rPr>
      <w:rFonts w:ascii="宋体" w:eastAsia="宋体"/>
    </w:rPr>
  </w:style>
  <w:style w:type="paragraph" w:customStyle="1" w:styleId="59">
    <w:name w:val="封面标准英文名称"/>
    <w:basedOn w:val="56"/>
    <w:qFormat/>
    <w:uiPriority w:val="0"/>
    <w:pPr>
      <w:framePr w:wrap="around"/>
      <w:spacing w:before="370" w:line="400" w:lineRule="exact"/>
    </w:pPr>
    <w:rPr>
      <w:rFonts w:ascii="Times New Roman"/>
      <w:sz w:val="28"/>
      <w:szCs w:val="28"/>
    </w:rPr>
  </w:style>
  <w:style w:type="paragraph" w:customStyle="1" w:styleId="60">
    <w:name w:val="封面标准文稿编辑信息"/>
    <w:basedOn w:val="57"/>
    <w:qFormat/>
    <w:uiPriority w:val="0"/>
    <w:pPr>
      <w:framePr w:wrap="around"/>
      <w:spacing w:before="180" w:line="180" w:lineRule="exact"/>
    </w:pPr>
    <w:rPr>
      <w:sz w:val="21"/>
    </w:r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62">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paragraph" w:customStyle="1" w:styleId="63">
    <w:name w:val="其他标准标志"/>
    <w:basedOn w:val="1"/>
    <w:qFormat/>
    <w:uiPriority w:val="0"/>
    <w:pPr>
      <w:framePr w:w="6101" w:h="1389" w:hRule="exact" w:hSpace="181" w:vSpace="181" w:wrap="around" w:vAnchor="page" w:hAnchor="page" w:x="4673" w:y="942" w:anchorLock="1"/>
      <w:widowControl/>
      <w:shd w:val="solid" w:color="FFFFFF" w:fill="FFFFFF"/>
      <w:spacing w:line="240" w:lineRule="atLeast"/>
      <w:jc w:val="right"/>
    </w:pPr>
    <w:rPr>
      <w:rFonts w:ascii="Times New Roman" w:hAnsi="Times New Roman" w:cs="Times New Roman"/>
      <w:b/>
      <w:w w:val="130"/>
      <w:kern w:val="0"/>
      <w:sz w:val="96"/>
      <w:szCs w:val="96"/>
    </w:rPr>
  </w:style>
  <w:style w:type="paragraph" w:customStyle="1" w:styleId="6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6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6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67">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character" w:customStyle="1" w:styleId="68">
    <w:name w:val="书籍标题1"/>
    <w:qFormat/>
    <w:uiPriority w:val="99"/>
    <w:rPr>
      <w:b/>
      <w:i/>
      <w:spacing w:val="5"/>
    </w:rPr>
  </w:style>
  <w:style w:type="character" w:customStyle="1" w:styleId="69">
    <w:name w:val="首示例 Char"/>
    <w:link w:val="70"/>
    <w:locked/>
    <w:uiPriority w:val="99"/>
    <w:rPr>
      <w:rFonts w:ascii="宋体"/>
      <w:sz w:val="18"/>
    </w:rPr>
  </w:style>
  <w:style w:type="paragraph" w:customStyle="1" w:styleId="70">
    <w:name w:val="首示例"/>
    <w:next w:val="49"/>
    <w:link w:val="69"/>
    <w:qFormat/>
    <w:uiPriority w:val="99"/>
    <w:pPr>
      <w:numPr>
        <w:ilvl w:val="0"/>
        <w:numId w:val="3"/>
      </w:numPr>
      <w:tabs>
        <w:tab w:val="left" w:pos="360"/>
      </w:tabs>
      <w:ind w:firstLine="0"/>
    </w:pPr>
    <w:rPr>
      <w:rFonts w:ascii="宋体" w:hAnsiTheme="minorHAnsi" w:eastAsiaTheme="minorEastAsia" w:cstheme="minorBidi"/>
      <w:kern w:val="2"/>
      <w:sz w:val="18"/>
      <w:szCs w:val="22"/>
      <w:lang w:val="en-US" w:eastAsia="zh-CN" w:bidi="ar-SA"/>
    </w:rPr>
  </w:style>
  <w:style w:type="character" w:customStyle="1" w:styleId="71">
    <w:name w:val="附录公式 Char"/>
    <w:link w:val="72"/>
    <w:locked/>
    <w:uiPriority w:val="99"/>
    <w:rPr>
      <w:rFonts w:ascii="宋体" w:cs="Times New Roman"/>
      <w:sz w:val="22"/>
    </w:rPr>
  </w:style>
  <w:style w:type="paragraph" w:customStyle="1" w:styleId="72">
    <w:name w:val="附录公式"/>
    <w:basedOn w:val="49"/>
    <w:next w:val="49"/>
    <w:link w:val="71"/>
    <w:uiPriority w:val="99"/>
    <w:rPr>
      <w:rFonts w:hAnsiTheme="minorHAnsi" w:eastAsiaTheme="minorEastAsia"/>
      <w:kern w:val="2"/>
      <w:sz w:val="22"/>
      <w:szCs w:val="22"/>
    </w:rPr>
  </w:style>
  <w:style w:type="paragraph" w:customStyle="1" w:styleId="73">
    <w:name w:val="三级无"/>
    <w:basedOn w:val="74"/>
    <w:uiPriority w:val="99"/>
    <w:pPr>
      <w:spacing w:beforeLines="0" w:afterLines="0"/>
    </w:pPr>
    <w:rPr>
      <w:rFonts w:ascii="宋体" w:eastAsia="宋体"/>
    </w:rPr>
  </w:style>
  <w:style w:type="paragraph" w:customStyle="1" w:styleId="74">
    <w:name w:val="三级条标题"/>
    <w:basedOn w:val="46"/>
    <w:next w:val="49"/>
    <w:qFormat/>
    <w:uiPriority w:val="0"/>
    <w:pPr>
      <w:numPr>
        <w:ilvl w:val="0"/>
      </w:numPr>
      <w:outlineLvl w:val="4"/>
    </w:pPr>
  </w:style>
  <w:style w:type="paragraph" w:customStyle="1" w:styleId="75">
    <w:name w:val="附录一级条标题"/>
    <w:basedOn w:val="76"/>
    <w:next w:val="49"/>
    <w:uiPriority w:val="99"/>
    <w:pPr>
      <w:numPr>
        <w:ilvl w:val="2"/>
      </w:numPr>
      <w:tabs>
        <w:tab w:val="left" w:pos="360"/>
      </w:tabs>
      <w:autoSpaceDN w:val="0"/>
      <w:spacing w:beforeLines="50" w:afterLines="50"/>
      <w:outlineLvl w:val="2"/>
    </w:pPr>
  </w:style>
  <w:style w:type="paragraph" w:customStyle="1" w:styleId="76">
    <w:name w:val="附录章标题"/>
    <w:next w:val="49"/>
    <w:qFormat/>
    <w:uiPriority w:val="99"/>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77">
    <w:name w:val="标准称谓"/>
    <w:next w:val="1"/>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78">
    <w:name w:val="标准书脚_奇数页"/>
    <w:qFormat/>
    <w:uiPriority w:val="99"/>
    <w:pPr>
      <w:spacing w:before="120"/>
      <w:ind w:right="198"/>
      <w:jc w:val="right"/>
    </w:pPr>
    <w:rPr>
      <w:rFonts w:ascii="宋体" w:hAnsi="Times New Roman" w:eastAsia="宋体" w:cs="Times New Roman"/>
      <w:kern w:val="0"/>
      <w:sz w:val="18"/>
      <w:szCs w:val="18"/>
      <w:lang w:val="en-US" w:eastAsia="zh-CN" w:bidi="ar-SA"/>
    </w:rPr>
  </w:style>
  <w:style w:type="paragraph" w:customStyle="1" w:styleId="79">
    <w:name w:val="示例内容"/>
    <w:qFormat/>
    <w:uiPriority w:val="99"/>
    <w:pPr>
      <w:ind w:firstLine="200" w:firstLineChars="200"/>
    </w:pPr>
    <w:rPr>
      <w:rFonts w:ascii="宋体" w:hAnsi="Times New Roman" w:eastAsia="宋体" w:cs="Times New Roman"/>
      <w:kern w:val="0"/>
      <w:sz w:val="18"/>
      <w:szCs w:val="18"/>
      <w:lang w:val="en-US" w:eastAsia="zh-CN" w:bidi="ar-SA"/>
    </w:rPr>
  </w:style>
  <w:style w:type="paragraph" w:customStyle="1" w:styleId="80">
    <w:name w:val="四级无"/>
    <w:basedOn w:val="81"/>
    <w:uiPriority w:val="99"/>
    <w:pPr>
      <w:spacing w:beforeLines="0" w:afterLines="0"/>
    </w:pPr>
    <w:rPr>
      <w:rFonts w:ascii="宋体" w:eastAsia="宋体"/>
    </w:rPr>
  </w:style>
  <w:style w:type="paragraph" w:customStyle="1" w:styleId="81">
    <w:name w:val="四级条标题"/>
    <w:basedOn w:val="74"/>
    <w:next w:val="49"/>
    <w:qFormat/>
    <w:uiPriority w:val="0"/>
    <w:pPr>
      <w:outlineLvl w:val="5"/>
    </w:pPr>
  </w:style>
  <w:style w:type="paragraph" w:customStyle="1" w:styleId="82">
    <w:name w:val="正文表标题"/>
    <w:next w:val="49"/>
    <w:uiPriority w:val="99"/>
    <w:pPr>
      <w:numPr>
        <w:ilvl w:val="0"/>
        <w:numId w:val="5"/>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character" w:customStyle="1" w:styleId="83">
    <w:name w:val="Footer Char1"/>
    <w:semiHidden/>
    <w:qFormat/>
    <w:uiPriority w:val="99"/>
    <w:rPr>
      <w:rFonts w:ascii="Times New Roman" w:hAnsi="Times New Roman"/>
      <w:sz w:val="18"/>
      <w:szCs w:val="18"/>
    </w:rPr>
  </w:style>
  <w:style w:type="character" w:customStyle="1" w:styleId="84">
    <w:name w:val="页脚 Char1"/>
    <w:semiHidden/>
    <w:uiPriority w:val="99"/>
    <w:rPr>
      <w:rFonts w:ascii="Times New Roman" w:hAnsi="Times New Roman" w:eastAsia="宋体" w:cs="Times New Roman"/>
      <w:sz w:val="18"/>
      <w:szCs w:val="18"/>
    </w:rPr>
  </w:style>
  <w:style w:type="paragraph" w:customStyle="1" w:styleId="85">
    <w:name w:val="发布部门"/>
    <w:next w:val="49"/>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86">
    <w:name w:val="列项◆（三级）"/>
    <w:basedOn w:val="1"/>
    <w:qFormat/>
    <w:uiPriority w:val="99"/>
    <w:pPr>
      <w:numPr>
        <w:ilvl w:val="2"/>
        <w:numId w:val="6"/>
      </w:numPr>
    </w:pPr>
    <w:rPr>
      <w:rFonts w:ascii="宋体" w:hAnsi="Times New Roman" w:cs="Times New Roman"/>
      <w:szCs w:val="21"/>
    </w:rPr>
  </w:style>
  <w:style w:type="character" w:customStyle="1" w:styleId="87">
    <w:name w:val="标题 Char1"/>
    <w:basedOn w:val="34"/>
    <w:qFormat/>
    <w:uiPriority w:val="99"/>
    <w:rPr>
      <w:rFonts w:eastAsia="宋体" w:asciiTheme="majorHAnsi" w:hAnsiTheme="majorHAnsi" w:cstheme="majorBidi"/>
      <w:b/>
      <w:bCs/>
      <w:sz w:val="32"/>
      <w:szCs w:val="32"/>
    </w:rPr>
  </w:style>
  <w:style w:type="character" w:customStyle="1" w:styleId="88">
    <w:name w:val="Title Char1"/>
    <w:qFormat/>
    <w:uiPriority w:val="10"/>
    <w:rPr>
      <w:rFonts w:ascii="Cambria" w:hAnsi="Cambria" w:cs="Times New Roman"/>
      <w:b/>
      <w:bCs/>
      <w:sz w:val="32"/>
      <w:szCs w:val="32"/>
    </w:rPr>
  </w:style>
  <w:style w:type="paragraph" w:customStyle="1" w:styleId="89">
    <w:name w:val="封面正文"/>
    <w:qFormat/>
    <w:uiPriority w:val="99"/>
    <w:pPr>
      <w:jc w:val="both"/>
    </w:pPr>
    <w:rPr>
      <w:rFonts w:ascii="Times New Roman" w:hAnsi="Times New Roman" w:eastAsia="宋体" w:cs="Times New Roman"/>
      <w:kern w:val="0"/>
      <w:sz w:val="20"/>
      <w:szCs w:val="20"/>
      <w:lang w:val="en-US" w:eastAsia="zh-CN" w:bidi="ar-SA"/>
    </w:rPr>
  </w:style>
  <w:style w:type="character" w:customStyle="1" w:styleId="90">
    <w:name w:val="Header Char1"/>
    <w:semiHidden/>
    <w:qFormat/>
    <w:uiPriority w:val="99"/>
    <w:rPr>
      <w:rFonts w:ascii="Times New Roman" w:hAnsi="Times New Roman"/>
      <w:sz w:val="18"/>
      <w:szCs w:val="18"/>
    </w:rPr>
  </w:style>
  <w:style w:type="character" w:customStyle="1" w:styleId="91">
    <w:name w:val="页眉 Char1"/>
    <w:semiHidden/>
    <w:uiPriority w:val="99"/>
    <w:rPr>
      <w:rFonts w:ascii="Times New Roman" w:hAnsi="Times New Roman" w:eastAsia="宋体" w:cs="Times New Roman"/>
      <w:sz w:val="18"/>
      <w:szCs w:val="18"/>
    </w:rPr>
  </w:style>
  <w:style w:type="paragraph" w:customStyle="1" w:styleId="92">
    <w:name w:val="二级无"/>
    <w:basedOn w:val="46"/>
    <w:uiPriority w:val="99"/>
    <w:pPr>
      <w:numPr>
        <w:ilvl w:val="0"/>
      </w:numPr>
      <w:spacing w:beforeLines="0" w:afterLines="0"/>
    </w:pPr>
    <w:rPr>
      <w:rFonts w:ascii="宋体" w:eastAsia="宋体"/>
    </w:rPr>
  </w:style>
  <w:style w:type="paragraph" w:customStyle="1" w:styleId="93">
    <w:name w:val="注×：（正文）"/>
    <w:qFormat/>
    <w:uiPriority w:val="99"/>
    <w:pPr>
      <w:numPr>
        <w:ilvl w:val="0"/>
        <w:numId w:val="7"/>
      </w:numPr>
      <w:jc w:val="both"/>
    </w:pPr>
    <w:rPr>
      <w:rFonts w:ascii="宋体" w:hAnsi="Times New Roman" w:eastAsia="宋体" w:cs="Times New Roman"/>
      <w:kern w:val="0"/>
      <w:sz w:val="18"/>
      <w:szCs w:val="18"/>
      <w:lang w:val="en-US" w:eastAsia="zh-CN" w:bidi="ar-SA"/>
    </w:rPr>
  </w:style>
  <w:style w:type="character" w:customStyle="1" w:styleId="94">
    <w:name w:val="批注框文本 Char1"/>
    <w:basedOn w:val="34"/>
    <w:semiHidden/>
    <w:uiPriority w:val="99"/>
    <w:rPr>
      <w:rFonts w:ascii="Times New Roman" w:hAnsi="Times New Roman" w:eastAsia="宋体" w:cs="Times New Roman"/>
      <w:sz w:val="18"/>
      <w:szCs w:val="18"/>
    </w:rPr>
  </w:style>
  <w:style w:type="character" w:customStyle="1" w:styleId="95">
    <w:name w:val="Balloon Text Char1"/>
    <w:semiHidden/>
    <w:uiPriority w:val="99"/>
    <w:rPr>
      <w:rFonts w:ascii="Times New Roman" w:hAnsi="Times New Roman"/>
      <w:sz w:val="0"/>
      <w:szCs w:val="0"/>
    </w:rPr>
  </w:style>
  <w:style w:type="paragraph" w:customStyle="1" w:styleId="96">
    <w:name w:val="正文公式编号制表符"/>
    <w:basedOn w:val="49"/>
    <w:next w:val="49"/>
    <w:qFormat/>
    <w:uiPriority w:val="99"/>
    <w:pPr>
      <w:ind w:firstLine="0" w:firstLineChars="0"/>
    </w:pPr>
    <w:rPr>
      <w:rFonts w:hAnsi="Calibri"/>
      <w:kern w:val="2"/>
      <w:szCs w:val="22"/>
    </w:rPr>
  </w:style>
  <w:style w:type="paragraph" w:customStyle="1" w:styleId="97">
    <w:name w:val="附录表标题"/>
    <w:basedOn w:val="1"/>
    <w:next w:val="49"/>
    <w:qFormat/>
    <w:uiPriority w:val="99"/>
    <w:pPr>
      <w:numPr>
        <w:ilvl w:val="1"/>
        <w:numId w:val="8"/>
      </w:numPr>
      <w:tabs>
        <w:tab w:val="left" w:pos="180"/>
      </w:tabs>
      <w:spacing w:beforeLines="50" w:afterLines="50"/>
      <w:ind w:left="0" w:firstLine="0"/>
      <w:jc w:val="center"/>
    </w:pPr>
    <w:rPr>
      <w:rFonts w:ascii="黑体" w:hAnsi="Times New Roman" w:eastAsia="黑体" w:cs="Times New Roman"/>
      <w:szCs w:val="21"/>
    </w:rPr>
  </w:style>
  <w:style w:type="paragraph" w:customStyle="1" w:styleId="98">
    <w:name w:val="封面标准英文名称2"/>
    <w:basedOn w:val="59"/>
    <w:qFormat/>
    <w:uiPriority w:val="99"/>
    <w:pPr>
      <w:framePr w:wrap="around" w:y="4469"/>
    </w:pPr>
  </w:style>
  <w:style w:type="paragraph" w:customStyle="1" w:styleId="99">
    <w:name w:val="目次、索引正文"/>
    <w:uiPriority w:val="99"/>
    <w:pPr>
      <w:spacing w:line="320" w:lineRule="exact"/>
      <w:jc w:val="both"/>
    </w:pPr>
    <w:rPr>
      <w:rFonts w:ascii="宋体" w:hAnsi="Times New Roman" w:eastAsia="宋体" w:cs="Times New Roman"/>
      <w:kern w:val="0"/>
      <w:sz w:val="21"/>
      <w:szCs w:val="20"/>
      <w:lang w:val="en-US" w:eastAsia="zh-CN" w:bidi="ar-SA"/>
    </w:rPr>
  </w:style>
  <w:style w:type="paragraph" w:customStyle="1" w:styleId="100">
    <w:name w:val="注："/>
    <w:next w:val="49"/>
    <w:qFormat/>
    <w:uiPriority w:val="0"/>
    <w:pPr>
      <w:widowControl w:val="0"/>
      <w:numPr>
        <w:ilvl w:val="0"/>
        <w:numId w:val="9"/>
      </w:numPr>
      <w:autoSpaceDE w:val="0"/>
      <w:autoSpaceDN w:val="0"/>
      <w:jc w:val="both"/>
    </w:pPr>
    <w:rPr>
      <w:rFonts w:ascii="宋体" w:hAnsi="Times New Roman" w:eastAsia="宋体" w:cs="Times New Roman"/>
      <w:kern w:val="0"/>
      <w:sz w:val="18"/>
      <w:szCs w:val="18"/>
      <w:lang w:val="en-US" w:eastAsia="zh-CN" w:bidi="ar-SA"/>
    </w:rPr>
  </w:style>
  <w:style w:type="paragraph" w:customStyle="1" w:styleId="101">
    <w:name w:val="数字编号列项（二级）"/>
    <w:qFormat/>
    <w:uiPriority w:val="99"/>
    <w:pPr>
      <w:numPr>
        <w:ilvl w:val="1"/>
        <w:numId w:val="10"/>
      </w:numPr>
      <w:jc w:val="both"/>
    </w:pPr>
    <w:rPr>
      <w:rFonts w:ascii="宋体" w:hAnsi="Times New Roman" w:eastAsia="宋体" w:cs="Times New Roman"/>
      <w:kern w:val="0"/>
      <w:sz w:val="21"/>
      <w:szCs w:val="20"/>
      <w:lang w:val="en-US" w:eastAsia="zh-CN" w:bidi="ar-SA"/>
    </w:rPr>
  </w:style>
  <w:style w:type="paragraph" w:customStyle="1" w:styleId="102">
    <w:name w:val="附录二级条标题"/>
    <w:basedOn w:val="1"/>
    <w:next w:val="49"/>
    <w:uiPriority w:val="99"/>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03">
    <w:name w:val="封面标准文稿编辑信息2"/>
    <w:basedOn w:val="60"/>
    <w:uiPriority w:val="99"/>
    <w:pPr>
      <w:framePr w:wrap="around" w:y="4469"/>
    </w:pPr>
  </w:style>
  <w:style w:type="paragraph" w:customStyle="1" w:styleId="104">
    <w:name w:val="图标脚注说明"/>
    <w:basedOn w:val="49"/>
    <w:qFormat/>
    <w:uiPriority w:val="99"/>
    <w:pPr>
      <w:ind w:left="840" w:hanging="420" w:firstLineChars="0"/>
    </w:pPr>
    <w:rPr>
      <w:rFonts w:hAnsi="Calibri"/>
      <w:kern w:val="2"/>
      <w:sz w:val="18"/>
      <w:szCs w:val="18"/>
    </w:rPr>
  </w:style>
  <w:style w:type="paragraph" w:customStyle="1" w:styleId="105">
    <w:name w:val="参考文献"/>
    <w:basedOn w:val="1"/>
    <w:next w:val="49"/>
    <w:qFormat/>
    <w:uiPriority w:val="99"/>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06">
    <w:name w:val="列项说明"/>
    <w:basedOn w:val="1"/>
    <w:qFormat/>
    <w:uiPriority w:val="99"/>
    <w:pPr>
      <w:adjustRightInd w:val="0"/>
      <w:spacing w:line="320" w:lineRule="exact"/>
      <w:ind w:left="400" w:leftChars="200" w:hanging="200" w:hangingChars="200"/>
      <w:jc w:val="left"/>
      <w:textAlignment w:val="baseline"/>
    </w:pPr>
    <w:rPr>
      <w:rFonts w:ascii="宋体" w:hAnsi="Times New Roman" w:cs="Times New Roman"/>
      <w:kern w:val="0"/>
      <w:szCs w:val="20"/>
    </w:rPr>
  </w:style>
  <w:style w:type="paragraph" w:customStyle="1" w:styleId="107">
    <w:name w:val="列项说明数字编号"/>
    <w:qFormat/>
    <w:uiPriority w:val="99"/>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08">
    <w:name w:val="附录五级条标题"/>
    <w:basedOn w:val="109"/>
    <w:next w:val="49"/>
    <w:qFormat/>
    <w:uiPriority w:val="99"/>
    <w:pPr>
      <w:numPr>
        <w:ilvl w:val="6"/>
      </w:numPr>
      <w:tabs>
        <w:tab w:val="left" w:pos="360"/>
      </w:tabs>
      <w:outlineLvl w:val="6"/>
    </w:pPr>
  </w:style>
  <w:style w:type="paragraph" w:customStyle="1" w:styleId="109">
    <w:name w:val="附录四级条标题"/>
    <w:basedOn w:val="110"/>
    <w:next w:val="49"/>
    <w:qFormat/>
    <w:uiPriority w:val="99"/>
    <w:pPr>
      <w:numPr>
        <w:ilvl w:val="5"/>
      </w:numPr>
      <w:tabs>
        <w:tab w:val="left" w:pos="360"/>
      </w:tabs>
      <w:outlineLvl w:val="5"/>
    </w:pPr>
  </w:style>
  <w:style w:type="paragraph" w:customStyle="1" w:styleId="110">
    <w:name w:val="附录三级条标题"/>
    <w:basedOn w:val="102"/>
    <w:next w:val="49"/>
    <w:qFormat/>
    <w:uiPriority w:val="99"/>
    <w:pPr>
      <w:numPr>
        <w:ilvl w:val="4"/>
      </w:numPr>
      <w:outlineLvl w:val="4"/>
    </w:pPr>
  </w:style>
  <w:style w:type="paragraph" w:customStyle="1" w:styleId="111">
    <w:name w:val="条文脚注"/>
    <w:basedOn w:val="23"/>
    <w:uiPriority w:val="99"/>
    <w:pPr>
      <w:numPr>
        <w:numId w:val="0"/>
      </w:numPr>
      <w:jc w:val="both"/>
    </w:pPr>
  </w:style>
  <w:style w:type="paragraph" w:customStyle="1" w:styleId="112">
    <w:name w:val="附录二级无"/>
    <w:basedOn w:val="102"/>
    <w:uiPriority w:val="99"/>
    <w:pPr>
      <w:tabs>
        <w:tab w:val="clear" w:pos="360"/>
      </w:tabs>
      <w:spacing w:beforeLines="0" w:afterLines="0"/>
    </w:pPr>
    <w:rPr>
      <w:rFonts w:ascii="宋体" w:eastAsia="宋体"/>
      <w:szCs w:val="21"/>
    </w:rPr>
  </w:style>
  <w:style w:type="paragraph" w:customStyle="1" w:styleId="113">
    <w:name w:val="标准书眉一"/>
    <w:qFormat/>
    <w:uiPriority w:val="99"/>
    <w:pPr>
      <w:jc w:val="both"/>
    </w:pPr>
    <w:rPr>
      <w:rFonts w:ascii="Times New Roman" w:hAnsi="Times New Roman" w:eastAsia="宋体" w:cs="Times New Roman"/>
      <w:kern w:val="0"/>
      <w:sz w:val="20"/>
      <w:szCs w:val="20"/>
      <w:lang w:val="en-US" w:eastAsia="zh-CN" w:bidi="ar-SA"/>
    </w:rPr>
  </w:style>
  <w:style w:type="paragraph" w:customStyle="1" w:styleId="114">
    <w:name w:val="标准书眉_偶数页"/>
    <w:basedOn w:val="115"/>
    <w:next w:val="1"/>
    <w:qFormat/>
    <w:uiPriority w:val="99"/>
    <w:pPr>
      <w:tabs>
        <w:tab w:val="center" w:pos="4154"/>
        <w:tab w:val="right" w:pos="8306"/>
      </w:tabs>
      <w:jc w:val="left"/>
    </w:pPr>
  </w:style>
  <w:style w:type="paragraph" w:customStyle="1" w:styleId="115">
    <w:name w:val="标准书眉_奇数页"/>
    <w:next w:val="1"/>
    <w:uiPriority w:val="99"/>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116">
    <w:name w:val="示例"/>
    <w:next w:val="79"/>
    <w:qFormat/>
    <w:uiPriority w:val="99"/>
    <w:pPr>
      <w:widowControl w:val="0"/>
      <w:numPr>
        <w:ilvl w:val="0"/>
        <w:numId w:val="11"/>
      </w:numPr>
      <w:jc w:val="both"/>
    </w:pPr>
    <w:rPr>
      <w:rFonts w:ascii="宋体" w:hAnsi="Times New Roman" w:eastAsia="宋体" w:cs="Times New Roman"/>
      <w:kern w:val="0"/>
      <w:sz w:val="18"/>
      <w:szCs w:val="18"/>
      <w:lang w:val="en-US" w:eastAsia="zh-CN" w:bidi="ar-SA"/>
    </w:rPr>
  </w:style>
  <w:style w:type="paragraph" w:customStyle="1" w:styleId="117">
    <w:name w:val="参考文献、索引标题"/>
    <w:basedOn w:val="1"/>
    <w:next w:val="49"/>
    <w:uiPriority w:val="99"/>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18">
    <w:name w:val="前言、引言标题"/>
    <w:next w:val="49"/>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19">
    <w:name w:val="其他发布日期"/>
    <w:basedOn w:val="120"/>
    <w:uiPriority w:val="99"/>
    <w:pPr>
      <w:framePr w:wrap="around" w:vAnchor="page" w:hAnchor="text" w:x="1419"/>
    </w:pPr>
  </w:style>
  <w:style w:type="paragraph" w:customStyle="1" w:styleId="120">
    <w:name w:val="发布日期"/>
    <w:qFormat/>
    <w:uiPriority w:val="99"/>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paragraph" w:customStyle="1" w:styleId="121">
    <w:name w:val="附录字母编号列项（一级）"/>
    <w:qFormat/>
    <w:uiPriority w:val="0"/>
    <w:pPr>
      <w:numPr>
        <w:ilvl w:val="0"/>
        <w:numId w:val="12"/>
      </w:numPr>
    </w:pPr>
    <w:rPr>
      <w:rFonts w:ascii="宋体" w:hAnsi="Times New Roman" w:eastAsia="宋体" w:cs="Times New Roman"/>
      <w:kern w:val="0"/>
      <w:sz w:val="21"/>
      <w:szCs w:val="20"/>
      <w:lang w:val="en-US" w:eastAsia="zh-CN" w:bidi="ar-SA"/>
    </w:rPr>
  </w:style>
  <w:style w:type="paragraph" w:customStyle="1" w:styleId="122">
    <w:name w:val="图的脚注"/>
    <w:next w:val="49"/>
    <w:qFormat/>
    <w:uiPriority w:val="99"/>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123">
    <w:name w:val="五级无"/>
    <w:basedOn w:val="124"/>
    <w:qFormat/>
    <w:uiPriority w:val="99"/>
    <w:pPr>
      <w:spacing w:beforeLines="0" w:afterLines="0"/>
    </w:pPr>
    <w:rPr>
      <w:rFonts w:ascii="宋体" w:eastAsia="宋体"/>
    </w:rPr>
  </w:style>
  <w:style w:type="paragraph" w:customStyle="1" w:styleId="124">
    <w:name w:val="五级条标题"/>
    <w:basedOn w:val="81"/>
    <w:next w:val="49"/>
    <w:qFormat/>
    <w:uiPriority w:val="0"/>
    <w:pPr>
      <w:outlineLvl w:val="6"/>
    </w:pPr>
  </w:style>
  <w:style w:type="paragraph" w:customStyle="1" w:styleId="125">
    <w:name w:val="附录图标题"/>
    <w:basedOn w:val="1"/>
    <w:next w:val="49"/>
    <w:uiPriority w:val="99"/>
    <w:pPr>
      <w:numPr>
        <w:ilvl w:val="1"/>
        <w:numId w:val="13"/>
      </w:numPr>
      <w:tabs>
        <w:tab w:val="left" w:pos="363"/>
      </w:tabs>
      <w:spacing w:beforeLines="50" w:afterLines="50"/>
      <w:ind w:left="0" w:firstLine="0"/>
      <w:jc w:val="center"/>
    </w:pPr>
    <w:rPr>
      <w:rFonts w:ascii="黑体" w:hAnsi="Times New Roman" w:eastAsia="黑体" w:cs="Times New Roman"/>
      <w:szCs w:val="21"/>
    </w:rPr>
  </w:style>
  <w:style w:type="paragraph" w:customStyle="1" w:styleId="126">
    <w:name w:val="附录五级无"/>
    <w:basedOn w:val="108"/>
    <w:qFormat/>
    <w:uiPriority w:val="99"/>
    <w:pPr>
      <w:tabs>
        <w:tab w:val="clear" w:pos="360"/>
      </w:tabs>
      <w:spacing w:beforeLines="0" w:afterLines="0"/>
    </w:pPr>
    <w:rPr>
      <w:rFonts w:ascii="宋体" w:eastAsia="宋体"/>
      <w:szCs w:val="21"/>
    </w:rPr>
  </w:style>
  <w:style w:type="paragraph" w:customStyle="1" w:styleId="127">
    <w:name w:val="实施日期"/>
    <w:basedOn w:val="120"/>
    <w:uiPriority w:val="99"/>
    <w:pPr>
      <w:framePr w:wrap="around" w:vAnchor="page" w:hAnchor="text"/>
      <w:jc w:val="right"/>
    </w:pPr>
  </w:style>
  <w:style w:type="paragraph" w:customStyle="1" w:styleId="128">
    <w:name w:val="目次、标准名称标题"/>
    <w:basedOn w:val="1"/>
    <w:next w:val="49"/>
    <w:qFormat/>
    <w:uiPriority w:val="99"/>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29">
    <w:name w:val="封面标准名称2"/>
    <w:basedOn w:val="56"/>
    <w:uiPriority w:val="99"/>
    <w:pPr>
      <w:framePr w:wrap="around" w:y="4469"/>
      <w:spacing w:beforeLines="630"/>
    </w:pPr>
  </w:style>
  <w:style w:type="paragraph" w:customStyle="1" w:styleId="130">
    <w:name w:val="附录一级无"/>
    <w:basedOn w:val="75"/>
    <w:qFormat/>
    <w:uiPriority w:val="99"/>
    <w:pPr>
      <w:tabs>
        <w:tab w:val="clear" w:pos="360"/>
      </w:tabs>
      <w:spacing w:beforeLines="0" w:afterLines="0"/>
    </w:pPr>
    <w:rPr>
      <w:rFonts w:ascii="宋体" w:eastAsia="宋体"/>
      <w:szCs w:val="21"/>
    </w:rPr>
  </w:style>
  <w:style w:type="paragraph" w:customStyle="1" w:styleId="131">
    <w:name w:val="附录图标号"/>
    <w:basedOn w:val="1"/>
    <w:qFormat/>
    <w:uiPriority w:val="99"/>
    <w:pPr>
      <w:keepNext/>
      <w:pageBreakBefore/>
      <w:widowControl/>
      <w:numPr>
        <w:ilvl w:val="0"/>
        <w:numId w:val="13"/>
      </w:numPr>
      <w:spacing w:line="14" w:lineRule="exact"/>
      <w:ind w:left="0" w:firstLine="363"/>
      <w:jc w:val="center"/>
      <w:outlineLvl w:val="0"/>
    </w:pPr>
    <w:rPr>
      <w:rFonts w:ascii="Times New Roman" w:hAnsi="Times New Roman" w:cs="Times New Roman"/>
      <w:color w:val="FFFFFF"/>
      <w:szCs w:val="24"/>
    </w:rPr>
  </w:style>
  <w:style w:type="paragraph" w:customStyle="1" w:styleId="132">
    <w:name w:val="编号列项（三级）"/>
    <w:qFormat/>
    <w:uiPriority w:val="99"/>
    <w:pPr>
      <w:numPr>
        <w:ilvl w:val="2"/>
        <w:numId w:val="10"/>
      </w:numPr>
    </w:pPr>
    <w:rPr>
      <w:rFonts w:ascii="宋体" w:hAnsi="Times New Roman" w:eastAsia="宋体" w:cs="Times New Roman"/>
      <w:kern w:val="0"/>
      <w:sz w:val="21"/>
      <w:szCs w:val="20"/>
      <w:lang w:val="en-US" w:eastAsia="zh-CN" w:bidi="ar-SA"/>
    </w:rPr>
  </w:style>
  <w:style w:type="paragraph" w:customStyle="1" w:styleId="133">
    <w:name w:val="附录数字编号列项（二级）"/>
    <w:qFormat/>
    <w:uiPriority w:val="0"/>
    <w:pPr>
      <w:numPr>
        <w:ilvl w:val="1"/>
        <w:numId w:val="12"/>
      </w:numPr>
    </w:pPr>
    <w:rPr>
      <w:rFonts w:ascii="宋体" w:hAnsi="Times New Roman" w:eastAsia="宋体" w:cs="Times New Roman"/>
      <w:kern w:val="0"/>
      <w:sz w:val="21"/>
      <w:szCs w:val="20"/>
      <w:lang w:val="en-US" w:eastAsia="zh-CN" w:bidi="ar-SA"/>
    </w:rPr>
  </w:style>
  <w:style w:type="paragraph" w:customStyle="1" w:styleId="134">
    <w:name w:val="附录标题"/>
    <w:basedOn w:val="49"/>
    <w:next w:val="49"/>
    <w:uiPriority w:val="99"/>
    <w:pPr>
      <w:ind w:firstLine="0" w:firstLineChars="0"/>
      <w:jc w:val="center"/>
    </w:pPr>
    <w:rPr>
      <w:rFonts w:ascii="黑体" w:hAnsi="Calibri" w:eastAsia="黑体"/>
      <w:kern w:val="2"/>
      <w:szCs w:val="22"/>
    </w:rPr>
  </w:style>
  <w:style w:type="paragraph" w:customStyle="1" w:styleId="135">
    <w:name w:val="注×："/>
    <w:qFormat/>
    <w:uiPriority w:val="99"/>
    <w:pPr>
      <w:widowControl w:val="0"/>
      <w:numPr>
        <w:ilvl w:val="0"/>
        <w:numId w:val="14"/>
      </w:numPr>
      <w:autoSpaceDE w:val="0"/>
      <w:autoSpaceDN w:val="0"/>
      <w:jc w:val="both"/>
    </w:pPr>
    <w:rPr>
      <w:rFonts w:ascii="宋体" w:hAnsi="Times New Roman" w:eastAsia="宋体" w:cs="Times New Roman"/>
      <w:kern w:val="0"/>
      <w:sz w:val="18"/>
      <w:szCs w:val="18"/>
      <w:lang w:val="en-US" w:eastAsia="zh-CN" w:bidi="ar-SA"/>
    </w:rPr>
  </w:style>
  <w:style w:type="paragraph" w:customStyle="1" w:styleId="136">
    <w:name w:val="字母编号列项（一级）"/>
    <w:uiPriority w:val="99"/>
    <w:pPr>
      <w:numPr>
        <w:ilvl w:val="0"/>
        <w:numId w:val="10"/>
      </w:numPr>
      <w:jc w:val="both"/>
    </w:pPr>
    <w:rPr>
      <w:rFonts w:ascii="宋体" w:hAnsi="Times New Roman" w:eastAsia="宋体" w:cs="Times New Roman"/>
      <w:kern w:val="0"/>
      <w:sz w:val="21"/>
      <w:szCs w:val="20"/>
      <w:lang w:val="en-US" w:eastAsia="zh-CN" w:bidi="ar-SA"/>
    </w:rPr>
  </w:style>
  <w:style w:type="paragraph" w:customStyle="1" w:styleId="137">
    <w:name w:val="标准书脚_偶数页"/>
    <w:qFormat/>
    <w:uiPriority w:val="99"/>
    <w:pPr>
      <w:spacing w:before="120"/>
      <w:ind w:left="221"/>
    </w:pPr>
    <w:rPr>
      <w:rFonts w:ascii="宋体" w:hAnsi="Times New Roman" w:eastAsia="宋体" w:cs="Times New Roman"/>
      <w:kern w:val="0"/>
      <w:sz w:val="18"/>
      <w:szCs w:val="18"/>
      <w:lang w:val="en-US" w:eastAsia="zh-CN" w:bidi="ar-SA"/>
    </w:rPr>
  </w:style>
  <w:style w:type="paragraph" w:customStyle="1" w:styleId="138">
    <w:name w:val="终结线"/>
    <w:basedOn w:val="1"/>
    <w:qFormat/>
    <w:uiPriority w:val="99"/>
    <w:pPr>
      <w:framePr w:hSpace="181" w:vSpace="181" w:wrap="around" w:vAnchor="text" w:hAnchor="margin" w:xAlign="center" w:y="285"/>
    </w:pPr>
    <w:rPr>
      <w:rFonts w:ascii="Times New Roman" w:hAnsi="Times New Roman" w:cs="Times New Roman"/>
      <w:szCs w:val="24"/>
    </w:rPr>
  </w:style>
  <w:style w:type="paragraph" w:customStyle="1" w:styleId="139">
    <w:name w:val="附录四级无"/>
    <w:basedOn w:val="109"/>
    <w:qFormat/>
    <w:uiPriority w:val="99"/>
    <w:pPr>
      <w:tabs>
        <w:tab w:val="clear" w:pos="360"/>
      </w:tabs>
      <w:spacing w:beforeLines="0" w:afterLines="0"/>
    </w:pPr>
    <w:rPr>
      <w:rFonts w:ascii="宋体" w:eastAsia="宋体"/>
      <w:szCs w:val="21"/>
    </w:rPr>
  </w:style>
  <w:style w:type="paragraph" w:customStyle="1" w:styleId="140">
    <w:name w:val="图表脚注说明"/>
    <w:basedOn w:val="1"/>
    <w:qFormat/>
    <w:uiPriority w:val="99"/>
    <w:pPr>
      <w:numPr>
        <w:ilvl w:val="0"/>
        <w:numId w:val="15"/>
      </w:numPr>
    </w:pPr>
    <w:rPr>
      <w:rFonts w:ascii="宋体" w:hAnsi="Times New Roman" w:cs="Times New Roman"/>
      <w:sz w:val="18"/>
      <w:szCs w:val="18"/>
    </w:rPr>
  </w:style>
  <w:style w:type="paragraph" w:customStyle="1" w:styleId="141">
    <w:name w:val="封面一致性程度标识2"/>
    <w:basedOn w:val="58"/>
    <w:qFormat/>
    <w:uiPriority w:val="99"/>
    <w:pPr>
      <w:framePr w:wrap="around" w:y="4469"/>
    </w:pPr>
  </w:style>
  <w:style w:type="paragraph" w:customStyle="1" w:styleId="142">
    <w:name w:val="标准标志"/>
    <w:next w:val="1"/>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kern w:val="0"/>
      <w:sz w:val="96"/>
      <w:szCs w:val="96"/>
      <w:lang w:val="en-US" w:eastAsia="zh-CN" w:bidi="ar-SA"/>
    </w:rPr>
  </w:style>
  <w:style w:type="paragraph" w:customStyle="1" w:styleId="143">
    <w:name w:val="注：（正文）"/>
    <w:basedOn w:val="100"/>
    <w:next w:val="49"/>
    <w:qFormat/>
    <w:uiPriority w:val="99"/>
  </w:style>
  <w:style w:type="paragraph" w:customStyle="1" w:styleId="144">
    <w:name w:val="列项——（一级）"/>
    <w:qFormat/>
    <w:uiPriority w:val="99"/>
    <w:pPr>
      <w:widowControl w:val="0"/>
      <w:numPr>
        <w:ilvl w:val="0"/>
        <w:numId w:val="6"/>
      </w:numPr>
      <w:jc w:val="both"/>
    </w:pPr>
    <w:rPr>
      <w:rFonts w:ascii="宋体" w:hAnsi="Times New Roman" w:eastAsia="宋体" w:cs="Times New Roman"/>
      <w:kern w:val="0"/>
      <w:sz w:val="21"/>
      <w:szCs w:val="20"/>
      <w:lang w:val="en-US" w:eastAsia="zh-CN" w:bidi="ar-SA"/>
    </w:rPr>
  </w:style>
  <w:style w:type="paragraph" w:customStyle="1" w:styleId="145">
    <w:name w:val="一级无"/>
    <w:basedOn w:val="47"/>
    <w:qFormat/>
    <w:uiPriority w:val="99"/>
    <w:pPr>
      <w:spacing w:beforeLines="0" w:afterLines="0"/>
    </w:pPr>
    <w:rPr>
      <w:rFonts w:ascii="宋体" w:eastAsia="宋体"/>
    </w:rPr>
  </w:style>
  <w:style w:type="paragraph" w:customStyle="1" w:styleId="146">
    <w:name w:val="封面标准文稿类别2"/>
    <w:basedOn w:val="57"/>
    <w:qFormat/>
    <w:uiPriority w:val="99"/>
    <w:pPr>
      <w:framePr w:wrap="around" w:y="4469"/>
    </w:pPr>
  </w:style>
  <w:style w:type="paragraph" w:customStyle="1" w:styleId="147">
    <w:name w:val="示例×："/>
    <w:basedOn w:val="48"/>
    <w:qFormat/>
    <w:uiPriority w:val="99"/>
    <w:pPr>
      <w:numPr>
        <w:numId w:val="16"/>
      </w:numPr>
      <w:spacing w:beforeLines="0" w:afterLines="0"/>
      <w:outlineLvl w:val="9"/>
    </w:pPr>
    <w:rPr>
      <w:rFonts w:ascii="宋体" w:eastAsia="宋体"/>
      <w:sz w:val="18"/>
      <w:szCs w:val="18"/>
    </w:rPr>
  </w:style>
  <w:style w:type="paragraph" w:customStyle="1" w:styleId="148">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49">
    <w:name w:val="正文图标题"/>
    <w:next w:val="49"/>
    <w:uiPriority w:val="99"/>
    <w:pPr>
      <w:numPr>
        <w:ilvl w:val="0"/>
        <w:numId w:val="17"/>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150">
    <w:name w:val="附录标识"/>
    <w:basedOn w:val="1"/>
    <w:next w:val="49"/>
    <w:qFormat/>
    <w:uiPriority w:val="99"/>
    <w:pPr>
      <w:keepNext/>
      <w:widowControl/>
      <w:numPr>
        <w:ilvl w:val="0"/>
        <w:numId w:val="4"/>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151">
    <w:name w:val="附录公式编号制表符"/>
    <w:basedOn w:val="1"/>
    <w:next w:val="49"/>
    <w:autoRedefine/>
    <w:qFormat/>
    <w:uiPriority w:val="99"/>
    <w:pPr>
      <w:widowControl/>
      <w:tabs>
        <w:tab w:val="center" w:pos="4201"/>
        <w:tab w:val="right" w:leader="dot" w:pos="9298"/>
      </w:tabs>
      <w:autoSpaceDE w:val="0"/>
      <w:autoSpaceDN w:val="0"/>
    </w:pPr>
    <w:rPr>
      <w:rFonts w:ascii="宋体" w:hAnsi="Times New Roman" w:cs="Times New Roman"/>
      <w:kern w:val="0"/>
      <w:szCs w:val="20"/>
    </w:rPr>
  </w:style>
  <w:style w:type="paragraph" w:customStyle="1" w:styleId="152">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53">
    <w:name w:val="附录表标号"/>
    <w:basedOn w:val="1"/>
    <w:next w:val="49"/>
    <w:qFormat/>
    <w:uiPriority w:val="99"/>
    <w:pPr>
      <w:numPr>
        <w:ilvl w:val="0"/>
        <w:numId w:val="8"/>
      </w:numPr>
      <w:tabs>
        <w:tab w:val="clear" w:pos="0"/>
      </w:tabs>
      <w:spacing w:line="14" w:lineRule="exact"/>
      <w:ind w:left="811" w:hanging="448"/>
      <w:jc w:val="center"/>
      <w:outlineLvl w:val="0"/>
    </w:pPr>
    <w:rPr>
      <w:rFonts w:ascii="Times New Roman" w:hAnsi="Times New Roman" w:cs="Times New Roman"/>
      <w:color w:val="FFFFFF"/>
      <w:szCs w:val="24"/>
    </w:rPr>
  </w:style>
  <w:style w:type="paragraph" w:customStyle="1" w:styleId="154">
    <w:name w:val="列项●（二级）"/>
    <w:qFormat/>
    <w:uiPriority w:val="99"/>
    <w:pPr>
      <w:numPr>
        <w:ilvl w:val="1"/>
        <w:numId w:val="6"/>
      </w:numPr>
      <w:tabs>
        <w:tab w:val="left" w:pos="840"/>
        <w:tab w:val="clear" w:pos="760"/>
      </w:tabs>
      <w:jc w:val="both"/>
    </w:pPr>
    <w:rPr>
      <w:rFonts w:ascii="宋体" w:hAnsi="Times New Roman" w:eastAsia="宋体" w:cs="Times New Roman"/>
      <w:kern w:val="0"/>
      <w:sz w:val="21"/>
      <w:szCs w:val="20"/>
      <w:lang w:val="en-US" w:eastAsia="zh-CN" w:bidi="ar-SA"/>
    </w:rPr>
  </w:style>
  <w:style w:type="paragraph" w:customStyle="1" w:styleId="155">
    <w:name w:val="附录三级无"/>
    <w:basedOn w:val="110"/>
    <w:uiPriority w:val="99"/>
    <w:pPr>
      <w:tabs>
        <w:tab w:val="clear" w:pos="360"/>
      </w:tabs>
      <w:spacing w:beforeLines="0" w:afterLines="0"/>
    </w:pPr>
    <w:rPr>
      <w:rFonts w:ascii="宋体" w:eastAsia="宋体"/>
      <w:szCs w:val="21"/>
    </w:rPr>
  </w:style>
  <w:style w:type="paragraph" w:customStyle="1" w:styleId="156">
    <w:name w:val="示例后文字"/>
    <w:basedOn w:val="49"/>
    <w:next w:val="49"/>
    <w:uiPriority w:val="99"/>
    <w:pPr>
      <w:ind w:firstLine="360"/>
    </w:pPr>
    <w:rPr>
      <w:rFonts w:hAnsi="Calibri"/>
      <w:kern w:val="2"/>
      <w:sz w:val="18"/>
      <w:szCs w:val="22"/>
    </w:rPr>
  </w:style>
  <w:style w:type="paragraph" w:customStyle="1" w:styleId="157">
    <w:name w:val="列出段落1"/>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56</Pages>
  <Words>5604</Words>
  <Characters>31948</Characters>
  <Lines>266</Lines>
  <Paragraphs>74</Paragraphs>
  <TotalTime>4</TotalTime>
  <ScaleCrop>false</ScaleCrop>
  <LinksUpToDate>false</LinksUpToDate>
  <CharactersWithSpaces>37478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2017-07-14T08:30:00Z</dcterms:created>
  <dc:creator>微软用户</dc:creator>
  <cp:lastModifiedBy>-Jus</cp:lastModifiedBy>
  <dcterms:modified xsi:type="dcterms:W3CDTF">2024-04-23T09:12:57Z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D1F0383F22E148908583B8115940AB45_12</vt:lpwstr>
  </property>
</Properties>
</file>