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fixed"/>
        <w:tblCellMar>
          <w:top w:w="0" w:type="dxa"/>
          <w:left w:w="108" w:type="dxa"/>
          <w:bottom w:w="0" w:type="dxa"/>
          <w:right w:w="108" w:type="dxa"/>
        </w:tblCellMar>
      </w:tblPr>
      <w:tblGrid>
        <w:gridCol w:w="1255"/>
        <w:gridCol w:w="2143"/>
        <w:gridCol w:w="1352"/>
        <w:gridCol w:w="525"/>
        <w:gridCol w:w="1680"/>
        <w:gridCol w:w="2445"/>
      </w:tblGrid>
      <w:tr>
        <w:tblPrEx>
          <w:tblCellMar>
            <w:top w:w="0" w:type="dxa"/>
            <w:left w:w="108" w:type="dxa"/>
            <w:bottom w:w="0" w:type="dxa"/>
            <w:right w:w="108" w:type="dxa"/>
          </w:tblCellMar>
        </w:tblPrEx>
        <w:trPr>
          <w:trHeight w:val="567" w:hRule="exact"/>
        </w:trPr>
        <w:tc>
          <w:tcPr>
            <w:tcW w:w="6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138"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福保社区居民活动空间提升改造项目</w:t>
            </w:r>
          </w:p>
        </w:tc>
        <w:tc>
          <w:tcPr>
            <w:tcW w:w="89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30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500000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6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138"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福保社区</w:t>
            </w:r>
          </w:p>
        </w:tc>
        <w:tc>
          <w:tcPr>
            <w:tcW w:w="8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3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lang w:eastAsia="zh-CN"/>
              </w:rPr>
              <w:t>罗宝平</w:t>
            </w:r>
          </w:p>
        </w:tc>
      </w:tr>
      <w:tr>
        <w:tblPrEx>
          <w:tblCellMar>
            <w:top w:w="0" w:type="dxa"/>
            <w:left w:w="108" w:type="dxa"/>
            <w:bottom w:w="0" w:type="dxa"/>
            <w:right w:w="108" w:type="dxa"/>
          </w:tblCellMar>
        </w:tblPrEx>
        <w:trPr>
          <w:trHeight w:val="240" w:hRule="atLeast"/>
        </w:trPr>
        <w:tc>
          <w:tcPr>
            <w:tcW w:w="66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3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719"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47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6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32" w:type="pct"/>
            <w:gridSpan w:val="5"/>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按照“服务面积最大化、办公面积最小化”要求，腾退办公用房，把更多的空间、最好的位置用于服务群众。对于党群服务中心内居民活动空间进行改造提升，做到功能区划分合理，动静区分开，一室多用。办公区域和服务群众区域相对分开，布局和谐有序；增加区域打卡功能、储物功能、墙面社区文化，增强场地记忆点，营造温馨舒适的氛围，打造居民群众愿意来、喜欢来、经常来的幸福邻里之家。</w:t>
            </w:r>
          </w:p>
        </w:tc>
      </w:tr>
      <w:tr>
        <w:tblPrEx>
          <w:tblCellMar>
            <w:top w:w="0" w:type="dxa"/>
            <w:left w:w="108" w:type="dxa"/>
            <w:bottom w:w="0" w:type="dxa"/>
            <w:right w:w="108" w:type="dxa"/>
          </w:tblCellMar>
        </w:tblPrEx>
        <w:trPr>
          <w:trHeight w:val="712" w:hRule="atLeast"/>
        </w:trPr>
        <w:tc>
          <w:tcPr>
            <w:tcW w:w="66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32" w:type="pct"/>
            <w:gridSpan w:val="5"/>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目标：注重以人为本，功能多元，艺术表达，全力发挥党建功能，服务功能，共治功能、文化功能，打造福保社区党群服务主阵地。</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内容：提升改造打卡区（福宝宝游乐园）、自习室、漂流书屋、乒乓球室、舞蹈室、图书馆、书画室、服务大厅等区域。</w:t>
            </w:r>
          </w:p>
        </w:tc>
      </w:tr>
      <w:tr>
        <w:tblPrEx>
          <w:tblCellMar>
            <w:top w:w="0" w:type="dxa"/>
            <w:left w:w="108" w:type="dxa"/>
            <w:bottom w:w="0" w:type="dxa"/>
            <w:right w:w="108" w:type="dxa"/>
          </w:tblCellMar>
        </w:tblPrEx>
        <w:trPr>
          <w:trHeight w:val="2080" w:hRule="atLeast"/>
        </w:trPr>
        <w:tc>
          <w:tcPr>
            <w:tcW w:w="667"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32" w:type="pct"/>
            <w:gridSpan w:val="5"/>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自合同签订之日起至2024年6月30日前</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一次性</w:t>
            </w:r>
            <w:r>
              <w:rPr>
                <w:rFonts w:hint="eastAsia" w:ascii="仿宋_GB2312" w:hAnsi="仿宋_GB2312" w:eastAsia="仿宋_GB2312" w:cs="仿宋_GB2312"/>
                <w:color w:val="auto"/>
                <w:kern w:val="0"/>
                <w:sz w:val="24"/>
              </w:rPr>
              <w:t>付款：合同签订后，中标供应商按要求完成合同所有服务项目，</w:t>
            </w:r>
            <w:r>
              <w:rPr>
                <w:rFonts w:hint="eastAsia" w:ascii="仿宋_GB2312" w:hAnsi="仿宋_GB2312" w:eastAsia="仿宋_GB2312" w:cs="仿宋_GB2312"/>
                <w:color w:val="auto"/>
                <w:kern w:val="0"/>
                <w:sz w:val="24"/>
                <w:lang w:eastAsia="zh-CN"/>
              </w:rPr>
              <w:t>验收合格后，</w:t>
            </w:r>
            <w:r>
              <w:rPr>
                <w:rFonts w:hint="eastAsia" w:ascii="仿宋_GB2312" w:hAnsi="仿宋_GB2312" w:eastAsia="仿宋_GB2312" w:cs="仿宋_GB2312"/>
                <w:color w:val="auto"/>
                <w:kern w:val="0"/>
                <w:sz w:val="24"/>
              </w:rPr>
              <w:t>中标供应商提供符合规定的发票，街道办</w:t>
            </w:r>
            <w:r>
              <w:rPr>
                <w:rFonts w:hint="eastAsia" w:ascii="仿宋_GB2312" w:hAnsi="仿宋_GB2312" w:eastAsia="仿宋_GB2312" w:cs="仿宋_GB2312"/>
                <w:color w:val="auto"/>
                <w:kern w:val="0"/>
                <w:sz w:val="24"/>
                <w:lang w:eastAsia="zh-CN"/>
              </w:rPr>
              <w:t>一次性</w:t>
            </w:r>
            <w:r>
              <w:rPr>
                <w:rFonts w:hint="eastAsia" w:ascii="仿宋_GB2312" w:hAnsi="仿宋_GB2312" w:eastAsia="仿宋_GB2312" w:cs="仿宋_GB2312"/>
                <w:color w:val="auto"/>
                <w:kern w:val="0"/>
                <w:sz w:val="24"/>
              </w:rPr>
              <w:t>支付合同总</w:t>
            </w:r>
            <w:r>
              <w:rPr>
                <w:rFonts w:hint="eastAsia" w:ascii="仿宋_GB2312" w:hAnsi="仿宋_GB2312" w:eastAsia="仿宋_GB2312" w:cs="仿宋_GB2312"/>
                <w:color w:val="auto"/>
                <w:kern w:val="0"/>
                <w:sz w:val="24"/>
                <w:lang w:eastAsia="zh-CN"/>
              </w:rPr>
              <w:t>金</w:t>
            </w:r>
            <w:r>
              <w:rPr>
                <w:rFonts w:hint="eastAsia" w:ascii="仿宋_GB2312" w:hAnsi="仿宋_GB2312" w:eastAsia="仿宋_GB2312" w:cs="仿宋_GB2312"/>
                <w:color w:val="auto"/>
                <w:kern w:val="0"/>
                <w:sz w:val="24"/>
              </w:rPr>
              <w:t>额。</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50万元以内</w:t>
            </w:r>
          </w:p>
          <w:p>
            <w:pPr>
              <w:widowControl/>
              <w:spacing w:line="240" w:lineRule="auto"/>
              <w:ind w:firstLine="0" w:firstLineChars="0"/>
              <w:jc w:val="lef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430" w:hRule="atLeast"/>
        </w:trPr>
        <w:tc>
          <w:tcPr>
            <w:tcW w:w="66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32" w:type="pct"/>
            <w:gridSpan w:val="5"/>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405" w:hRule="atLeast"/>
        </w:trPr>
        <w:tc>
          <w:tcPr>
            <w:tcW w:w="66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32" w:type="pct"/>
            <w:gridSpan w:val="5"/>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4C24AD9"/>
    <w:rsid w:val="172C00A3"/>
    <w:rsid w:val="18B761FE"/>
    <w:rsid w:val="194B399D"/>
    <w:rsid w:val="1AF3636A"/>
    <w:rsid w:val="1CD203FA"/>
    <w:rsid w:val="1D1041D7"/>
    <w:rsid w:val="251026CF"/>
    <w:rsid w:val="2C7035F3"/>
    <w:rsid w:val="2E544988"/>
    <w:rsid w:val="2FBB6ACC"/>
    <w:rsid w:val="304A7E50"/>
    <w:rsid w:val="334D7C7F"/>
    <w:rsid w:val="340E45C5"/>
    <w:rsid w:val="3F1434CE"/>
    <w:rsid w:val="416451E2"/>
    <w:rsid w:val="447E6A90"/>
    <w:rsid w:val="4795557D"/>
    <w:rsid w:val="4E144BA8"/>
    <w:rsid w:val="4E1E0521"/>
    <w:rsid w:val="4F3F2E1E"/>
    <w:rsid w:val="50762693"/>
    <w:rsid w:val="587C663C"/>
    <w:rsid w:val="5A771A36"/>
    <w:rsid w:val="5C8F69B7"/>
    <w:rsid w:val="5EBA216A"/>
    <w:rsid w:val="66AD6A92"/>
    <w:rsid w:val="66C374B6"/>
    <w:rsid w:val="6A1555D3"/>
    <w:rsid w:val="6E587601"/>
    <w:rsid w:val="76B31972"/>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Administrator</cp:lastModifiedBy>
  <dcterms:modified xsi:type="dcterms:W3CDTF">2024-03-29T03:19:10Z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649CE3F9BAF1480B97705F6E096E9FC4</vt:lpwstr>
  </property>
</Properties>
</file>