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关于深圳市福田区政协第六届第三次会议提案《全球时尚新地标 打造顶级网红打卡圣地》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第2023114号的回复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尊敬的林春浩等委员：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你们好！你们在福田区政协六届三次会议上的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提案第2023114号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《全球时尚新地标 打造顶级网红打卡圣地》已收悉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首先感谢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你们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福田区环中心公园活力圈建设和旅游业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的关心和重视，所提建议对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环中心公园活力圈建设和我区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未来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旅游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产业发展具有重要的参考价值和指导意义，现将办理情况答复如下：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年来，福田区委区政府将环中心公园活力圈纳入福田区未来30年发展的“三大新引擎”，作为福田区“一轴两翼”中东翼的重点发展区域，并推动活力圈发展纳入全市战略性发展片区，全力推进环中心公园活力圈空间焕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。围绕环中心公园活力圈，我区持续开展推动华强北街区、华富街道田面村及节日大道升级改造，配套全年系列文化、时尚、音乐活动等，促进环中心公园活力圈总体氛围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“旧貌换新颜”。与此同时，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旅游高质量发展对促进消费复苏，推动经济内循环具有重大意义，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2023年是福田区旅游的发展元年。今年以来，市委市政府、区委区政府对此高度重视，多次召开旅游业高质量发展专题会议，明确以打造都市型沉浸式全域旅游示范区为定位，围绕“七个打造”（打造精准定位、打造精彩产品、打造强大平台、打造独特体验、打造政策体系、打造宣推渠道、打造联动机制）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全面提升福田旅游综合竞争力，将福田区加快建成世界级旅游目的地、出发地、消费地。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据不完全统计，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今年上半年，全区游客人数达189.34万人次，较2019年同期增长44%，国内游客接团数达55.9万人次，较2019年同期增长300%。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辖区住宿业营业额20.61亿元，增速40.4%，远超2019年水平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，创下“三个历史新高”。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工作开展情况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文化发力，升级打造深圳节日大道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环中心公园活力圈消费势能基础深厚，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拥有多个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消费热点商圈，与福田CBD商圈共同为福田迈向世界级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文旅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消费目的地赋能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近年来，福田区持续升级打造“深圳节日大道”项目，项目地址位于福田区福华路，全长1.6公里，集合了福田最主要的商圈、CBD商务集群、文化场地、城市公园等，是国内首个以节日文化为核心的公共文化街区。深圳节日大道以中外传统节日为节点，以文化为核心，以商圈为载体，以美好生活为场景，打造大湾区时尚文旅消费目的地。通过创新体制机制，</w:t>
      </w:r>
      <w:r>
        <w:rPr>
          <w:rFonts w:hint="eastAsia" w:ascii="Calibri" w:hAnsi="Calibri" w:eastAsia="仿宋_GB2312" w:cs="Times New Roman"/>
          <w:kern w:val="2"/>
          <w:sz w:val="32"/>
          <w:szCs w:val="22"/>
          <w:lang w:val="en-US" w:eastAsia="zh-CN" w:bidi="ar-SA"/>
        </w:rPr>
        <w:t>搭建政府、商圈、文化资源“三统筹”街区运营机制，形</w:t>
      </w:r>
      <w:r>
        <w:rPr>
          <w:rFonts w:hint="eastAsia" w:ascii="仿宋_GB2312" w:eastAsia="仿宋_GB2312"/>
          <w:sz w:val="32"/>
          <w:szCs w:val="44"/>
          <w:u w:val="none"/>
          <w:lang w:val="en-US" w:eastAsia="zh-CN"/>
        </w:rPr>
        <w:t>成深圳节日大道建设“全社会大合唱”，提升各大商业综合体主动组织参与文化艺术活动的积极性，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持续亮化美化街区软硬件设施营造夜间温馨氛围、每年700场活动，夜间500场。现场参与人数达到1000万人次。深圳人“节日快乐到节日大道”的都市生活新方式逐渐深入人心。大道获评深圳年度夜间经济“十大地标”之首、粤港澳大湾区旅游业十优大奖，并被百度百科收纳成为首页词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时尚赋能，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建设华强北科技时尚文化特色街区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为进一步高标准建设好环中心公园活力圈，福田区以科技时尚文化赋能，升级更新华强北街区景点，构建国际时尚地标。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“一街一路”华强北国际科技时尚文化特色街试点工程，完成华强北赛格科技园外立面一体化改造，建成华强北博物馆、全国首个5G体验街区、国家发改委“双创示范基地”智方舟发布中心及中电智谷国际智能硬件创新中心等重点项目，认定为国家 3A级旅游景区，建设 AAA 级景区管理办公室及游客服务中心。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积极构建特色活动体系，打造华强北活动品牌，探索出一套涵盖科技、消费、音乐、动漫、文化、市集的活动体系，打造“98 音乐节”“深圳国际时尚电玩节”“深圳时装周福田会场”“全民挑战者”“公共文化进商圈”“福田时光乐坊”“华强北科技艺术节”“青少年科技节”等科技时尚文化符号，以全方位的活动注入，不断丰富华强北科技时尚文化特色街区内涵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制定《华强北科技时尚文化特色街区深化提升工作方案》，进一步突出华强北“中国电子第一街”品牌，打造“中国电子第一街，全球科技时尚地”，通过集聚产业资源，激发商圈活力，提升文化品质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构建立体化、全方位、多格局的文化综合空间，形成以科技和时尚为主题元素的文化特色街区。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Chars="0" w:firstLine="643" w:firstLineChars="200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（三）旅游提质，狂欢月开启都市旅游新篇章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旅游能够带动城市经济的发展，提升城市形象和综合竞争力。依托福田自身资源禀赋和特色，我区以都市型沉浸式全域旅游为定位，以“动感都市，精彩福田”为口号，积极打造福田都市旅游品牌，全面提升福田旅游综合竞争力，加快建成世界级旅游目的地、出发地、消费地。2023年5月，我区举办福田区都市旅游狂欢月活动，并于4月28日举办启动仪式，发布了福田旅游IP卡通形象和六条精品线路，开创了福田旅游的全新局面，为打造都市型沉浸式全域旅游新模式摸索出“福田玩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法”。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形成福田区都市旅游资源清单。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提炼融合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食、住、行、游、购、娱、展、演、赛、美“福田旅游十要素”，制作福田旅游宣传折页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在辖区高铁站、口岸等游客抵深“第一站”派发超万份。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推出两大福田旅游拳头产品。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  <w:u w:val="none" w:color="auto"/>
          <w:lang w:val="en-US" w:eastAsia="zh-CN"/>
        </w:rPr>
        <w:t>东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  <w:u w:val="none" w:color="auto"/>
          <w:lang w:eastAsia="zh-CN"/>
        </w:rPr>
        <w:t>部通航直升机观光产品、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红胖子观光巴士等我区独有的旅游交通产品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设计福田旅游卡通IP形象大使。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设计“福气”“福鹭”“福潮”“福余”4个福田旅游卡通IP形象，并围绕红树林精神赋予角色定位和性格特征。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推出6条精品旅游线路。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都市潮流低空游、亲子畅享欢乐游、改革开放弄潮游、深港联动两日游、两山联动特色游、福桥联动文化游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  <w:u w:val="none" w:color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none" w:color="auto"/>
          <w:lang w:val="en-US" w:eastAsia="zh-CN"/>
        </w:rPr>
        <w:t>打造都市型沉浸式全域旅游新模式，摸索出“福田玩法”。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u w:val="none" w:color="auto"/>
          <w:lang w:val="en-US" w:eastAsia="zh-CN"/>
        </w:rPr>
        <w:t>旅游狂欢月活动期间，各特色线路接待游客14.5万余人。</w:t>
      </w:r>
    </w:p>
    <w:p>
      <w:pPr>
        <w:pStyle w:val="3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下一步工作计划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（一）升级打造节日大道为创新大道、网红大道、艺术大道和消费大道。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持续开展高品质主题文体活动和促消费活动。常态化开展节日大道月历制作，联动商圈推出不少于130场活动。集聚商圈人气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，带动商圈消费，促进旅游旺盛。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持续推进街区氛围营造。</w:t>
      </w:r>
      <w:r>
        <w:rPr>
          <w:rFonts w:hint="eastAsia" w:ascii="仿宋_GB2312" w:eastAsia="仿宋_GB2312"/>
          <w:b w:val="0"/>
          <w:bCs w:val="0"/>
          <w:sz w:val="32"/>
          <w:szCs w:val="44"/>
          <w:u w:val="none"/>
          <w:lang w:val="en-US" w:eastAsia="zh-CN"/>
        </w:rPr>
        <w:t>完善福华路中心商圈夜间经济功能，激活商圈夜间经济。开展2023年深圳光影艺术季福田展区活动，撬动商圈举办主题鲜明的文化艺术展览活动。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持续加强节日大道政企联动协同。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链接周边商业、产业集群，扩大深圳节日大道品牌声量，指导各大商圈，协同政府开展各类文体活动，为各大商圈引流。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继续加大宣传推广。聚焦短视频、辐射图文、互动新玩法等加强宣传推广，打造深圳节日大道IP，营造“到节日大道欢度节日”生活新风尚。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（二）打造华强北街区文旅产业消费标杆。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联合各单位，围绕四季不同特色，月月不同主题，周周不同特点，品牌化组织大型节点活动，常态化组织中型系列活动，不间断组织小型特色活动，进一步夯实华强北主街特色时尚、科技、文化活动体系。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进一步加快文旅产业、商业载体资源导入，打造中心城区具有文化氛围的开放式商业街区。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进一步完善赛格天线设计方案，按照区领导要求，尽快推动艺术装置落地。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（三）打造福田都市型沉浸式全域旅游示范区。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进一步整合全区文旅资源。搭建政企交流平台，强化旅游行业企业间沟通，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建设福田旅游小程序，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通过线上线下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平台整合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全区各类资源开展旅游推介，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建立常态化的文旅商资讯发布推介机制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持续拉动旅游热度。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旅游亮点特色产品再提升。联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动红胖子巴士，串联华强北、中心公园等辖区内标志性景点，推出具有福田特色的联动游套票等旅游产品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建立多层次的线路体系。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加强与小红书、大众点评、抖音等社交平台合作，开发多样化旅游线路，为游客提供多元选择。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发动旅行社结合市场需求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推出亲子游、红色游、研学游、商务游等，积极打造福田都市旅游品牌，全面提升福田旅游综合竞争力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特此回复。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福田区文化广电旅游体育局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 w:righ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月9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日   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732355-5ECE-4C69-95E1-EBEA332385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E420E23-21CE-4763-8281-706BDFD529B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EBED70D-E5E0-4BE1-92EB-6D2DF2E6E348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A027CEF-C55F-4350-917B-AFD70B74F95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75FD65D-358C-409B-8ACC-9A017292B28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7C9454"/>
    <w:multiLevelType w:val="singleLevel"/>
    <w:tmpl w:val="BF7C945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7EB341"/>
    <w:multiLevelType w:val="singleLevel"/>
    <w:tmpl w:val="FB7EB3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FCEBB68"/>
    <w:multiLevelType w:val="singleLevel"/>
    <w:tmpl w:val="0FCEBB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Dg2MjVhZWI1NWI3MzExNzhhZjY3YWM3OGI5NmMifQ=="/>
  </w:docVars>
  <w:rsids>
    <w:rsidRoot w:val="A5AD56D8"/>
    <w:rsid w:val="0F1F3053"/>
    <w:rsid w:val="0F715929"/>
    <w:rsid w:val="20BF28E9"/>
    <w:rsid w:val="43C61679"/>
    <w:rsid w:val="675B74C9"/>
    <w:rsid w:val="A5AD56D8"/>
    <w:rsid w:val="ACEFA5FA"/>
    <w:rsid w:val="E9AF0E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widowControl/>
      <w:spacing w:line="560" w:lineRule="exact"/>
      <w:ind w:firstLine="0" w:firstLineChars="0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 w:val="0"/>
      <w:spacing w:line="560" w:lineRule="exact"/>
      <w:ind w:firstLine="640" w:firstLineChars="200"/>
      <w:jc w:val="center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6">
    <w:name w:val="PlainText"/>
    <w:basedOn w:val="1"/>
    <w:autoRedefine/>
    <w:qFormat/>
    <w:uiPriority w:val="0"/>
    <w:pPr>
      <w:spacing w:line="240" w:lineRule="auto"/>
      <w:jc w:val="both"/>
      <w:textAlignment w:val="baseline"/>
    </w:pPr>
    <w:rPr>
      <w:rFonts w:ascii="宋体" w:hAnsi="Courier New" w:eastAsia="宋体"/>
      <w:kern w:val="2"/>
      <w:sz w:val="21"/>
    </w:rPr>
  </w:style>
  <w:style w:type="paragraph" w:customStyle="1" w:styleId="7">
    <w:name w:val="_Style 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2023-10-13T14:59:00Z</dcterms:created>
  <dc:creator>cuihualin</dc:creator>
  <cp:lastModifiedBy>GHH</cp:lastModifiedBy>
  <dcterms:modified xsi:type="dcterms:W3CDTF">2024-01-03T11:59:31Z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AA298C96F17402F2C6B02C65C2D34202</vt:lpwstr>
  </property>
</Properties>
</file>