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关于深圳市福田区政协第六届第三次会议提案《关于提升中华非遗传统影响力 搭建科技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文化特色国际消费圈的建议》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第2023176号的回复</w:t>
      </w:r>
    </w:p>
    <w:p>
      <w:pPr>
        <w:keepNext w:val="0"/>
        <w:keepLines w:val="0"/>
        <w:pageBreakBefore w:val="0"/>
        <w:widowControl w:val="0"/>
        <w:kinsoku/>
        <w:wordWrap/>
        <w:overflowPunct/>
        <w:topLinePunct w:val="0"/>
        <w:autoSpaceDE/>
        <w:autoSpaceDN/>
        <w:bidi w:val="0"/>
        <w:adjustRightInd/>
        <w:snapToGrid/>
        <w:spacing w:line="580" w:lineRule="exact"/>
        <w:ind w:left="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hanging="1600" w:hangingChars="500"/>
        <w:jc w:val="left"/>
        <w:textAlignment w:val="auto"/>
        <w:rPr>
          <w:rFonts w:hint="eastAsia" w:ascii="仿宋_GB2312" w:eastAsia="仿宋_GB2312"/>
          <w:sz w:val="32"/>
          <w:szCs w:val="32"/>
        </w:rPr>
      </w:pPr>
      <w:r>
        <w:rPr>
          <w:rFonts w:hint="eastAsia" w:ascii="仿宋_GB2312" w:eastAsia="仿宋_GB2312"/>
          <w:sz w:val="32"/>
          <w:szCs w:val="32"/>
          <w:lang w:val="en-US" w:eastAsia="zh-CN"/>
        </w:rPr>
        <w:t>尊敬的委员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政协六届三次会议委员提案《</w:t>
      </w:r>
      <w:r>
        <w:rPr>
          <w:rFonts w:hint="eastAsia" w:ascii="仿宋_GB2312" w:hAnsi="仿宋_GB2312" w:eastAsia="仿宋_GB2312" w:cs="仿宋_GB2312"/>
          <w:sz w:val="32"/>
          <w:szCs w:val="32"/>
          <w:lang w:val="en-US" w:eastAsia="zh-CN"/>
        </w:rPr>
        <w:t>关于提升中华非遗传统影响力 搭建科技文化特色国际消费圈的建议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第2023</w:t>
      </w: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感谢</w:t>
      </w:r>
      <w:r>
        <w:rPr>
          <w:rFonts w:hint="eastAsia" w:ascii="仿宋_GB2312" w:hAnsi="仿宋_GB2312" w:eastAsia="仿宋_GB2312" w:cs="仿宋_GB2312"/>
          <w:sz w:val="32"/>
          <w:szCs w:val="32"/>
          <w:lang w:val="en-US" w:eastAsia="zh-CN"/>
        </w:rPr>
        <w:t>戴迪、何小芳等48位委员</w:t>
      </w:r>
      <w:r>
        <w:rPr>
          <w:rFonts w:hint="eastAsia" w:ascii="仿宋_GB2312" w:hAnsi="仿宋_GB2312" w:eastAsia="仿宋_GB2312" w:cs="仿宋_GB2312"/>
          <w:sz w:val="32"/>
          <w:szCs w:val="32"/>
          <w:lang w:eastAsia="zh-CN"/>
        </w:rPr>
        <w:t>对福田区非物质文化遗产的传承发展、活化利用等文化事业产业的关心与厚爱。</w:t>
      </w:r>
    </w:p>
    <w:p>
      <w:pPr>
        <w:keepNext w:val="0"/>
        <w:keepLines w:val="0"/>
        <w:pageBreakBefore w:val="0"/>
        <w:widowControl w:val="0"/>
        <w:kinsoku/>
        <w:wordWrap/>
        <w:overflowPunct/>
        <w:topLinePunct w:val="0"/>
        <w:autoSpaceDE w:val="0"/>
        <w:autoSpaceDN w:val="0"/>
        <w:bidi w:val="0"/>
        <w:adjustRightInd w:val="0"/>
        <w:snapToGrid/>
        <w:spacing w:line="580" w:lineRule="exact"/>
        <w:ind w:left="0" w:firstLine="320" w:firstLineChars="100"/>
        <w:textAlignment w:val="auto"/>
        <w:rPr>
          <w:rFonts w:hint="eastAsia" w:ascii="仿宋_GB2312" w:hAnsi="仿宋_GB2312" w:eastAsia="仿宋_GB2312" w:cs="仿宋_GB2312"/>
          <w:sz w:val="32"/>
          <w:szCs w:val="32"/>
          <w:lang w:eastAsia="zh-CN"/>
        </w:rPr>
        <w:sectPr>
          <w:headerReference r:id="rId3" w:type="default"/>
          <w:footerReference r:id="rId4" w:type="default"/>
          <w:pgSz w:w="11906" w:h="16838"/>
          <w:pgMar w:top="2098" w:right="1474" w:bottom="1984" w:left="1588" w:header="851" w:footer="992" w:gutter="0"/>
          <w:pgNumType w:fmt="numberInDash" w:start="2"/>
          <w:cols w:space="720" w:num="1"/>
          <w:rtlGutter w:val="0"/>
          <w:docGrid w:type="lines" w:linePitch="318" w:charSpace="0"/>
        </w:sectPr>
      </w:pPr>
      <w:r>
        <w:rPr>
          <w:rFonts w:hint="eastAsia" w:ascii="仿宋_GB2312" w:hAnsi="仿宋_GB2312" w:eastAsia="仿宋_GB2312" w:cs="仿宋_GB2312"/>
          <w:sz w:val="32"/>
          <w:szCs w:val="32"/>
          <w:lang w:eastAsia="zh-CN"/>
        </w:rPr>
        <w:t>我区依据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中华人民共和国非物质文化遗产法》，全面贯彻落实</w:t>
      </w:r>
      <w:r>
        <w:rPr>
          <w:rFonts w:hint="eastAsia" w:ascii="仿宋_GB2312" w:hAnsi="仿宋_GB2312" w:eastAsia="仿宋_GB2312" w:cs="仿宋_GB2312"/>
          <w:sz w:val="32"/>
          <w:szCs w:val="32"/>
          <w:lang w:val="en-US" w:eastAsia="zh-CN"/>
        </w:rPr>
        <w:t>中办、国办印发的</w:t>
      </w:r>
      <w:r>
        <w:rPr>
          <w:rFonts w:hint="eastAsia" w:ascii="仿宋_GB2312" w:hAnsi="仿宋_GB2312" w:eastAsia="仿宋_GB2312" w:cs="仿宋_GB2312"/>
          <w:sz w:val="32"/>
          <w:szCs w:val="32"/>
          <w:lang w:eastAsia="zh-CN"/>
        </w:rPr>
        <w:t>《关于实施中华优秀传统文化传承发展工程的意见》，近年</w:t>
      </w:r>
      <w:r>
        <w:rPr>
          <w:rFonts w:hint="eastAsia" w:ascii="仿宋_GB2312" w:hAnsi="仿宋_GB2312" w:eastAsia="仿宋_GB2312" w:cs="仿宋_GB2312"/>
          <w:sz w:val="32"/>
          <w:szCs w:val="32"/>
          <w:lang w:val="en-US" w:eastAsia="zh-CN"/>
        </w:rPr>
        <w:t>先后</w:t>
      </w:r>
      <w:r>
        <w:rPr>
          <w:rFonts w:hint="eastAsia" w:ascii="仿宋_GB2312" w:hAnsi="仿宋_GB2312" w:eastAsia="仿宋_GB2312" w:cs="仿宋_GB2312"/>
          <w:sz w:val="32"/>
          <w:szCs w:val="32"/>
          <w:lang w:eastAsia="zh-CN"/>
        </w:rPr>
        <w:t>制定并印发《福田区文化遗产保护利用扶持办法》《</w:t>
      </w:r>
      <w:r>
        <w:rPr>
          <w:rFonts w:hint="eastAsia" w:ascii="仿宋_GB2312" w:hAnsi="仿宋_GB2312" w:eastAsia="仿宋_GB2312" w:cs="仿宋_GB2312"/>
          <w:sz w:val="32"/>
          <w:szCs w:val="32"/>
          <w:lang w:val="en-US" w:eastAsia="zh-CN"/>
        </w:rPr>
        <w:t>福田区历史遗产和生态文明建设保护工作方案</w:t>
      </w:r>
      <w:r>
        <w:rPr>
          <w:rFonts w:hint="eastAsia" w:ascii="仿宋_GB2312" w:hAnsi="仿宋_GB2312" w:eastAsia="仿宋_GB2312" w:cs="仿宋_GB2312"/>
          <w:sz w:val="32"/>
          <w:szCs w:val="32"/>
          <w:lang w:eastAsia="zh-CN"/>
        </w:rPr>
        <w:t>》，建立健全</w:t>
      </w:r>
      <w:bookmarkStart w:id="0" w:name="_GoBack"/>
      <w:bookmarkEnd w:id="0"/>
      <w:r>
        <w:rPr>
          <w:rFonts w:hint="eastAsia" w:ascii="仿宋_GB2312" w:hAnsi="仿宋_GB2312" w:eastAsia="仿宋_GB2312" w:cs="仿宋_GB2312"/>
          <w:sz w:val="32"/>
          <w:szCs w:val="32"/>
          <w:lang w:val="en-US" w:eastAsia="zh-CN"/>
        </w:rPr>
        <w:t>文化遗产保护的制度建设，通过进一步完善规范性文件，我区的非遗传承保护</w:t>
      </w:r>
      <w:r>
        <w:rPr>
          <w:rFonts w:hint="eastAsia" w:ascii="仿宋_GB2312" w:hAnsi="仿宋_GB2312" w:eastAsia="仿宋_GB2312" w:cs="仿宋_GB2312"/>
          <w:sz w:val="32"/>
          <w:szCs w:val="32"/>
          <w:lang w:eastAsia="zh-CN"/>
        </w:rPr>
        <w:t>近年取得较大发展：建成广东省第一家区级非遗馆——福田区文化馆·非遗主题馆；全市第一家街道非遗馆——南园街道文化站非遗馆；全市第一间非遗主题图书馆——巴登非遗图书馆；全市第一间商圈非遗馆——新城市广场非遗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南园街道还获得全市首个文化和旅游部推广项目“非遗在社区”</w:t>
      </w:r>
    </w:p>
    <w:p>
      <w:pPr>
        <w:keepNext w:val="0"/>
        <w:keepLines w:val="0"/>
        <w:pageBreakBefore w:val="0"/>
        <w:widowControl w:val="0"/>
        <w:kinsoku/>
        <w:wordWrap/>
        <w:overflowPunct/>
        <w:topLinePunct w:val="0"/>
        <w:autoSpaceDE w:val="0"/>
        <w:autoSpaceDN w:val="0"/>
        <w:bidi w:val="0"/>
        <w:adjustRightInd w:val="0"/>
        <w:snapToGrid/>
        <w:spacing w:line="580" w:lineRule="exact"/>
        <w:ind w:left="0"/>
        <w:textAlignment w:val="auto"/>
        <w:rPr>
          <w:rFonts w:ascii="仿宋_GB2312" w:eastAsia="仿宋_GB2312"/>
          <w:sz w:val="32"/>
          <w:szCs w:val="32"/>
        </w:rPr>
      </w:pPr>
      <w:r>
        <w:rPr>
          <w:rFonts w:hint="eastAsia" w:ascii="仿宋_GB2312" w:hAnsi="仿宋_GB2312" w:eastAsia="仿宋_GB2312" w:cs="仿宋_GB2312"/>
          <w:sz w:val="32"/>
          <w:szCs w:val="32"/>
          <w:lang w:eastAsia="zh-CN"/>
        </w:rPr>
        <w:t>的试点单位资格。福田也是全市唯一形成区、街道、社区三级非遗保护传承阵地的行政区。</w:t>
      </w:r>
      <w:r>
        <w:rPr>
          <w:rFonts w:hint="eastAsia" w:ascii="仿宋_GB2312" w:eastAsia="仿宋_GB2312"/>
          <w:sz w:val="32"/>
          <w:szCs w:val="32"/>
        </w:rPr>
        <w:t>现</w:t>
      </w:r>
      <w:r>
        <w:rPr>
          <w:rFonts w:hint="eastAsia" w:ascii="仿宋_GB2312" w:eastAsia="仿宋_GB2312"/>
          <w:sz w:val="32"/>
          <w:szCs w:val="32"/>
          <w:lang w:eastAsia="zh-CN"/>
        </w:rPr>
        <w:t>结合区卫健局的会办意见</w:t>
      </w:r>
      <w:r>
        <w:rPr>
          <w:rFonts w:hint="eastAsia" w:ascii="仿宋_GB2312" w:eastAsia="仿宋_GB2312"/>
          <w:sz w:val="32"/>
          <w:szCs w:val="32"/>
        </w:rPr>
        <w:t>回复</w:t>
      </w:r>
      <w:r>
        <w:rPr>
          <w:rFonts w:hint="eastAsia" w:ascii="仿宋_GB2312" w:hAnsi="仿宋_GB2312" w:eastAsia="仿宋_GB2312" w:cs="仿宋_GB2312"/>
          <w:sz w:val="32"/>
          <w:szCs w:val="32"/>
          <w:lang w:eastAsia="zh-CN"/>
        </w:rPr>
        <w:t>提案意见</w:t>
      </w:r>
      <w:r>
        <w:rPr>
          <w:rFonts w:hint="eastAsia" w:ascii="仿宋_GB2312" w:eastAsia="仿宋_GB2312"/>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一、关于“建议非遗插上科技翅膀，嵌入式融进互联网+城市生活”</w:t>
      </w:r>
    </w:p>
    <w:p>
      <w:pPr>
        <w:keepNext w:val="0"/>
        <w:keepLines w:val="0"/>
        <w:pageBreakBefore w:val="0"/>
        <w:widowControl w:val="0"/>
        <w:kinsoku/>
        <w:wordWrap/>
        <w:overflowPunct/>
        <w:topLinePunct w:val="0"/>
        <w:bidi w:val="0"/>
        <w:snapToGrid/>
        <w:spacing w:line="580" w:lineRule="exact"/>
        <w:ind w:left="0" w:firstLine="640" w:firstLineChars="200"/>
        <w:textAlignment w:val="auto"/>
        <w:rPr>
          <w:rFonts w:hint="eastAsia"/>
          <w:lang w:eastAsia="zh-CN"/>
        </w:rPr>
      </w:pPr>
      <w:r>
        <w:rPr>
          <w:rFonts w:hint="eastAsia" w:ascii="仿宋_GB2312" w:eastAsia="仿宋_GB2312"/>
          <w:sz w:val="32"/>
          <w:szCs w:val="32"/>
        </w:rPr>
        <w:t>近年来，</w:t>
      </w:r>
      <w:r>
        <w:rPr>
          <w:rFonts w:hint="eastAsia" w:ascii="仿宋_GB2312" w:eastAsia="仿宋_GB2312"/>
          <w:sz w:val="32"/>
          <w:szCs w:val="32"/>
          <w:lang w:eastAsia="zh-CN"/>
        </w:rPr>
        <w:t>我</w:t>
      </w:r>
      <w:r>
        <w:rPr>
          <w:rFonts w:hint="eastAsia" w:ascii="仿宋_GB2312" w:eastAsia="仿宋_GB2312"/>
          <w:sz w:val="32"/>
          <w:szCs w:val="32"/>
        </w:rPr>
        <w:t>区始终将保护好历史文化遗产放在首要位置，</w:t>
      </w:r>
      <w:r>
        <w:rPr>
          <w:rFonts w:hint="eastAsia" w:ascii="仿宋_GB2312" w:eastAsia="仿宋_GB2312"/>
          <w:sz w:val="32"/>
          <w:szCs w:val="32"/>
          <w:lang w:eastAsia="zh-CN"/>
        </w:rPr>
        <w:t>坚持</w:t>
      </w:r>
      <w:r>
        <w:rPr>
          <w:rFonts w:hint="eastAsia" w:ascii="仿宋_GB2312" w:eastAsia="仿宋_GB2312"/>
          <w:sz w:val="32"/>
          <w:szCs w:val="32"/>
        </w:rPr>
        <w:t>发扬“敢闯敢试，敢为人先”的特区精神，进行了从无到有的一系列</w:t>
      </w:r>
      <w:r>
        <w:rPr>
          <w:rFonts w:hint="eastAsia" w:ascii="仿宋_GB2312" w:eastAsia="仿宋_GB2312"/>
          <w:sz w:val="32"/>
          <w:szCs w:val="32"/>
          <w:lang w:eastAsia="zh-CN"/>
        </w:rPr>
        <w:t>创新和</w:t>
      </w:r>
      <w:r>
        <w:rPr>
          <w:rFonts w:hint="eastAsia" w:ascii="仿宋_GB2312" w:eastAsia="仿宋_GB2312"/>
          <w:sz w:val="32"/>
          <w:szCs w:val="32"/>
        </w:rPr>
        <w:t>探索。</w:t>
      </w:r>
      <w:r>
        <w:rPr>
          <w:rFonts w:hint="eastAsia" w:ascii="仿宋_GB2312" w:eastAsia="仿宋_GB2312"/>
          <w:b/>
          <w:bCs/>
          <w:sz w:val="32"/>
          <w:szCs w:val="32"/>
          <w:lang w:eastAsia="zh-CN"/>
        </w:rPr>
        <w:t>一是</w:t>
      </w:r>
      <w:r>
        <w:rPr>
          <w:rFonts w:hint="eastAsia" w:ascii="仿宋_GB2312" w:eastAsia="仿宋_GB2312"/>
          <w:sz w:val="32"/>
          <w:szCs w:val="32"/>
        </w:rPr>
        <w:t>在全市首创历史遗产和生态文明建设“一网统管”管理平台建设，</w:t>
      </w:r>
      <w:r>
        <w:rPr>
          <w:rFonts w:hint="eastAsia" w:ascii="仿宋_GB2312" w:eastAsia="仿宋_GB2312"/>
          <w:sz w:val="32"/>
          <w:szCs w:val="32"/>
          <w:lang w:eastAsia="zh-CN"/>
        </w:rPr>
        <w:t>通过先进的互联网技术为文化遗产保护插上科技翅膀，</w:t>
      </w:r>
      <w:r>
        <w:rPr>
          <w:rFonts w:hint="eastAsia" w:ascii="仿宋_GB2312" w:eastAsia="仿宋_GB2312"/>
          <w:sz w:val="32"/>
          <w:szCs w:val="32"/>
        </w:rPr>
        <w:t>逐步</w:t>
      </w:r>
      <w:r>
        <w:rPr>
          <w:rFonts w:hint="eastAsia" w:ascii="仿宋_GB2312" w:eastAsia="仿宋_GB2312"/>
          <w:sz w:val="32"/>
          <w:szCs w:val="32"/>
          <w:lang w:eastAsia="zh-CN"/>
        </w:rPr>
        <w:t>打造</w:t>
      </w:r>
      <w:r>
        <w:rPr>
          <w:rFonts w:hint="eastAsia" w:ascii="仿宋_GB2312" w:eastAsia="仿宋_GB2312"/>
          <w:sz w:val="32"/>
          <w:szCs w:val="32"/>
        </w:rPr>
        <w:t>多部门联动、专家组指导、“一网统管”的创新型工作模式，大幅提升</w:t>
      </w:r>
      <w:r>
        <w:rPr>
          <w:rFonts w:hint="eastAsia" w:ascii="仿宋_GB2312" w:eastAsia="仿宋_GB2312"/>
          <w:sz w:val="32"/>
          <w:szCs w:val="32"/>
          <w:lang w:eastAsia="zh-CN"/>
        </w:rPr>
        <w:t>原</w:t>
      </w:r>
      <w:r>
        <w:rPr>
          <w:rFonts w:hint="eastAsia" w:ascii="仿宋_GB2312" w:eastAsia="仿宋_GB2312"/>
          <w:sz w:val="32"/>
          <w:szCs w:val="32"/>
        </w:rPr>
        <w:t>有管理</w:t>
      </w:r>
      <w:r>
        <w:rPr>
          <w:rFonts w:hint="eastAsia" w:ascii="仿宋_GB2312" w:eastAsia="仿宋_GB2312"/>
          <w:sz w:val="32"/>
          <w:szCs w:val="32"/>
          <w:lang w:eastAsia="zh-CN"/>
        </w:rPr>
        <w:t>效能</w:t>
      </w:r>
      <w:r>
        <w:rPr>
          <w:rFonts w:hint="eastAsia" w:ascii="仿宋_GB2312" w:eastAsia="仿宋_GB2312"/>
          <w:sz w:val="32"/>
          <w:szCs w:val="32"/>
        </w:rPr>
        <w:t>，优化我区对不可移动文物、非物质文化遗产、历史建筑、历史风貌区等历史遗产资源的管理效率，推进保护工作迈上新台阶。</w:t>
      </w:r>
      <w:r>
        <w:rPr>
          <w:rFonts w:hint="eastAsia" w:ascii="仿宋_GB2312" w:eastAsia="仿宋_GB2312"/>
          <w:b/>
          <w:bCs/>
          <w:sz w:val="32"/>
          <w:szCs w:val="32"/>
          <w:lang w:eastAsia="zh-CN"/>
        </w:rPr>
        <w:t>二是</w:t>
      </w:r>
      <w:r>
        <w:rPr>
          <w:rFonts w:hint="eastAsia" w:ascii="仿宋_GB2312" w:hAnsi="仿宋_GB2312" w:eastAsia="仿宋_GB2312" w:cs="仿宋_GB2312"/>
          <w:sz w:val="32"/>
          <w:szCs w:val="32"/>
          <w:lang w:val="en-US" w:bidi="zh-CN"/>
        </w:rPr>
        <w:t>我</w:t>
      </w:r>
      <w:r>
        <w:rPr>
          <w:rFonts w:hint="eastAsia" w:ascii="仿宋_GB2312" w:hAnsi="仿宋_GB2312" w:eastAsia="仿宋_GB2312" w:cs="仿宋_GB2312"/>
          <w:sz w:val="32"/>
          <w:szCs w:val="32"/>
          <w:lang w:val="zh-CN" w:eastAsia="zh-CN" w:bidi="zh-CN"/>
        </w:rPr>
        <w:t>区开发应用的</w:t>
      </w:r>
      <w:r>
        <w:rPr>
          <w:rFonts w:hint="eastAsia" w:ascii="仿宋_GB2312" w:hAnsi="仿宋_GB2312" w:eastAsia="仿宋_GB2312" w:cs="仿宋_GB2312"/>
          <w:sz w:val="32"/>
          <w:szCs w:val="32"/>
          <w:lang w:val="zh-CN" w:bidi="zh-CN"/>
        </w:rPr>
        <w:t>全市首个</w:t>
      </w:r>
      <w:r>
        <w:rPr>
          <w:rFonts w:hint="eastAsia" w:ascii="仿宋_GB2312" w:hAnsi="仿宋_GB2312" w:eastAsia="仿宋_GB2312" w:cs="仿宋_GB2312"/>
          <w:sz w:val="32"/>
          <w:szCs w:val="32"/>
          <w:lang w:val="en-US" w:eastAsia="zh-CN" w:bidi="zh-CN"/>
        </w:rPr>
        <w:t>文化遗产数字化保护平台已进入测试阶段，该数字化平台</w:t>
      </w:r>
      <w:r>
        <w:rPr>
          <w:rFonts w:hint="eastAsia" w:ascii="仿宋_GB2312" w:hAnsi="宋体" w:eastAsia="仿宋_GB2312" w:cs="Times New Roman"/>
          <w:b w:val="0"/>
          <w:bCs w:val="0"/>
          <w:color w:val="auto"/>
          <w:kern w:val="2"/>
          <w:sz w:val="32"/>
          <w:szCs w:val="32"/>
          <w:lang w:val="en-US" w:eastAsia="zh-CN" w:bidi="ar-SA"/>
        </w:rPr>
        <w:t>运</w:t>
      </w:r>
      <w:r>
        <w:rPr>
          <w:rFonts w:hint="eastAsia" w:ascii="仿宋_GB2312" w:hAnsi="宋体" w:eastAsia="仿宋_GB2312" w:cs="Times New Roman"/>
          <w:color w:val="auto"/>
          <w:kern w:val="2"/>
          <w:sz w:val="32"/>
          <w:szCs w:val="32"/>
          <w:lang w:val="en-US" w:eastAsia="zh-CN" w:bidi="ar-SA"/>
        </w:rPr>
        <w:t>用数字科技赋能文化遗产保护，创造性地建立起“五个一”平台：即建立一个保护机制、组建一个协调机构、编制一份保护目录、绘制一张保护地图、组建一个专家库，数据化平台对文化遗产的保护更加精准，反应更加迅速，决策更加科学。</w:t>
      </w:r>
      <w:r>
        <w:rPr>
          <w:rFonts w:hint="eastAsia" w:ascii="仿宋_GB2312" w:hAnsi="宋体" w:eastAsia="仿宋_GB2312" w:cs="Times New Roman"/>
          <w:b/>
          <w:bCs/>
          <w:color w:val="auto"/>
          <w:kern w:val="2"/>
          <w:sz w:val="32"/>
          <w:szCs w:val="32"/>
          <w:lang w:val="en-US" w:eastAsia="zh-CN" w:bidi="ar-SA"/>
        </w:rPr>
        <w:t>三是</w:t>
      </w:r>
      <w:r>
        <w:rPr>
          <w:rFonts w:hint="eastAsia" w:ascii="仿宋_GB2312" w:hAnsi="仿宋_GB2312" w:eastAsia="仿宋_GB2312" w:cs="仿宋_GB2312"/>
          <w:sz w:val="32"/>
          <w:szCs w:val="32"/>
          <w:lang w:val="en-US" w:eastAsia="zh-CN"/>
        </w:rPr>
        <w:t>2023年以来，我区在重点打造的“深圳节日大道”</w:t>
      </w:r>
      <w:r>
        <w:rPr>
          <w:rFonts w:hint="eastAsia" w:ascii="仿宋_GB2312" w:hAnsi="仿宋_GB2312" w:eastAsia="仿宋_GB2312" w:cs="仿宋_GB2312"/>
          <w:sz w:val="32"/>
          <w:szCs w:val="32"/>
          <w:lang w:eastAsia="zh-CN"/>
        </w:rPr>
        <w:t>采用动漫、游戏等形式，让非物质文化传承等公共文化的展现方式更加新颖、互动性更强，今年</w:t>
      </w:r>
      <w:r>
        <w:rPr>
          <w:rFonts w:hint="eastAsia" w:ascii="仿宋_GB2312" w:eastAsia="仿宋_GB2312"/>
          <w:color w:val="auto"/>
          <w:sz w:val="32"/>
          <w:szCs w:val="44"/>
          <w:lang w:val="en-US" w:eastAsia="zh-CN"/>
        </w:rPr>
        <w:t>2月5日元宵节，区文广旅体局策划实施</w:t>
      </w:r>
      <w:r>
        <w:rPr>
          <w:rFonts w:hint="eastAsia" w:ascii="仿宋_GB2312" w:hAnsi="仿宋_GB2312" w:eastAsia="仿宋_GB2312" w:cs="仿宋_GB2312"/>
          <w:color w:val="auto"/>
          <w:sz w:val="32"/>
          <w:szCs w:val="32"/>
          <w:lang w:eastAsia="zh-CN"/>
        </w:rPr>
        <w:t>“节日大道·龙腾狮跃闹元宵”活动，创新植入元宇宙概念探索建构“云上大道”，通过</w:t>
      </w:r>
      <w:r>
        <w:rPr>
          <w:rFonts w:hint="eastAsia" w:ascii="仿宋_GB2312" w:hAnsi="仿宋_GB2312" w:eastAsia="仿宋_GB2312" w:cs="仿宋_GB2312"/>
          <w:color w:val="auto"/>
          <w:sz w:val="32"/>
          <w:szCs w:val="32"/>
          <w:lang w:val="en-US" w:eastAsia="zh-CN"/>
        </w:rPr>
        <w:t>AR技术，让市民</w:t>
      </w:r>
      <w:r>
        <w:rPr>
          <w:rFonts w:hint="eastAsia" w:ascii="仿宋_GB2312" w:hAnsi="仿宋_GB2312" w:eastAsia="仿宋_GB2312" w:cs="仿宋_GB2312"/>
          <w:color w:val="auto"/>
          <w:sz w:val="32"/>
          <w:szCs w:val="32"/>
          <w:lang w:eastAsia="zh-CN"/>
        </w:rPr>
        <w:t>通过手机即可</w:t>
      </w:r>
      <w:r>
        <w:rPr>
          <w:rFonts w:hint="eastAsia" w:ascii="仿宋_GB2312" w:hAnsi="仿宋_GB2312" w:eastAsia="仿宋_GB2312" w:cs="仿宋_GB2312"/>
          <w:color w:val="auto"/>
          <w:sz w:val="32"/>
          <w:szCs w:val="32"/>
          <w:lang w:val="en-US" w:eastAsia="zh-CN"/>
        </w:rPr>
        <w:t>感受在半空中寻找金凤凰、元宝树上“摇落”元宝等奇妙的交互式体验；市民和游客打开“华为AR地图”还有机会领附近时尚商圈提供的阿玛尼、雅诗兰黛等国际品牌的优惠券，为节日大道营造出科技感十足的传统文化氛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lang w:eastAsia="zh-CN"/>
        </w:rPr>
      </w:pPr>
      <w:r>
        <w:rPr>
          <w:rFonts w:hint="eastAsia" w:ascii="仿宋_GB2312" w:eastAsia="仿宋_GB2312"/>
          <w:sz w:val="32"/>
          <w:szCs w:val="32"/>
          <w:lang w:eastAsia="zh-CN"/>
        </w:rPr>
        <w:t>下一步，我区将</w:t>
      </w:r>
      <w:r>
        <w:rPr>
          <w:rFonts w:hint="eastAsia" w:ascii="仿宋_GB2312" w:eastAsia="仿宋_GB2312"/>
          <w:sz w:val="32"/>
          <w:szCs w:val="32"/>
        </w:rPr>
        <w:t>提炼融古贯今的中华文明精神标识</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结合AR、VR、</w:t>
      </w:r>
      <w:r>
        <w:rPr>
          <w:rFonts w:hint="eastAsia" w:ascii="仿宋_GB2312" w:hAnsi="仿宋_GB2312" w:eastAsia="仿宋_GB2312" w:cs="仿宋_GB2312"/>
          <w:sz w:val="32"/>
          <w:szCs w:val="32"/>
          <w:lang w:val="en-US" w:eastAsia="zh-CN"/>
        </w:rPr>
        <w:t>MR、</w:t>
      </w:r>
      <w:r>
        <w:rPr>
          <w:rFonts w:hint="eastAsia" w:ascii="仿宋_GB2312" w:hAnsi="仿宋_GB2312" w:eastAsia="仿宋_GB2312" w:cs="仿宋_GB2312"/>
          <w:sz w:val="32"/>
          <w:szCs w:val="32"/>
          <w:lang w:eastAsia="zh-CN"/>
        </w:rPr>
        <w:t>XR等数字化手段，采用动漫、游戏、元宇宙等形式，让优秀传统文化传播、传承方式更新颖、互动性更强</w:t>
      </w:r>
      <w:r>
        <w:rPr>
          <w:rFonts w:hint="eastAsia" w:ascii="仿宋_GB2312" w:eastAsia="仿宋_GB2312"/>
          <w:sz w:val="32"/>
          <w:szCs w:val="32"/>
        </w:rPr>
        <w:t>，用心用情用力讲好中国故事、改革开放故事</w:t>
      </w:r>
      <w:r>
        <w:rPr>
          <w:rFonts w:hint="eastAsia" w:ascii="仿宋_GB2312" w:eastAsia="仿宋_GB2312"/>
          <w:sz w:val="32"/>
          <w:szCs w:val="32"/>
          <w:lang w:eastAsia="zh-CN"/>
        </w:rPr>
        <w:t>，用</w:t>
      </w:r>
      <w:r>
        <w:rPr>
          <w:rFonts w:hint="eastAsia" w:ascii="仿宋_GB2312" w:eastAsia="仿宋_GB2312"/>
          <w:sz w:val="32"/>
          <w:szCs w:val="32"/>
        </w:rPr>
        <w:t>新时代故事，为增强中华文明影响力作出福田贡献。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二、关于“建议挖掘广东传统特色，引入传统饮食药食同源实验室”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医药文化中建立了“药食同源，医食同根”的理念，强调“安身之本，必资于食”“食借药之力、药助食之功”。我区近年来开展一系列措施，在广东传统饮食基础上深入挖掘药食同源饮食文化的历史非遗精华，不断提升中华非遗传统的影响力。</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多形式开展中医药健康科普教育。区卫健局组织广州中医药大学深圳医院（福田）成立深圳中医药学会中医养生专业委员会，积极开展中医药健康养生工作，每年举办深圳大讲堂、百场健康讲座等健康养生科普讲座约 100 场，开展健康菜单活动，倾力打造互联网+养生新特色，根据时事热点，结合中医特色，推出《流感季》《糖友学堂》《有医说医》等特色直播栏目，深受群众好评。“养生深圳”通过新媒体矩阵微信公众号、微博、今日头条等账号，每年共发布 3000 余条健康素养知识。充分发挥新媒体优势，普及推广中医“治未病”的核心理念和“药食同源”中医养生知识，提升居民健康素养水平。</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积极推广食药膳，发挥中医药特色防治疾病。区属各医院中医科根据每位患者情况，积极开展中医体质辨识并开具健康处方指导，针对各种疾病进行日常中医食疗指导，制作中药膏方，如玉米须、蝉衣煮水代茶、老萝卜苗头煲猪骨汤治疗急性肾炎，五汁膏治疗咳嗽。中医强调“春夏养阳，秋冬养阴，以从其根”，根据各季节气候变化，为患者制定相应的治疗原则，如秋季雪蛤烧鸭羹、银耳鸽蛋汤。坚持在中医学理论指导下，结合现代营养学知识，以药食同源类物品为原料，采用传统和现代化科学技术进行加工制作，各医院特推出防感汤、固表解毒汤及各类养生汤等，充分发挥中医药传统“药食同源”文化在防治疾病中的特色优势，提升中医药非遗传统的影响力。</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提高中医药健康养生创新研究能力。各医院积极申报中医药膳防治疾病课题，并获批立项，广州中医药大学深圳医院（福田）编写出版《天天养生》和健康教育科普系列丛书 10 余部，其中《健康中国名医在身边》，荣获 2021 新时代乡村阅读季，农民喜爱的百种图书。制作《舌尖上的中医》台历，融入多种食谱，为市民的饮食方式提供科学健康的中医药指导。</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区卫健局将积极开展中医药文化教育进校园、进企业、进社区活动，争创中医养生服务行业示范基地，发挥引领带动作用，惠及辖区百姓。同时加强中医药健康宣传推广，重视媒体联动作用，为进一步推广中医药养生文化做好媒介基础。持续推广中医药食疗养生，通过一粥一汤一茶中医食疗指导，配合中药膏方等制剂，将药物与食物相配合，实现养生延年、防治疾病的功效，为人民健康保驾护航。持续开展中医药膳等食疗方法研究，搜集古代经方和验方，不断挖掘中医药宝库，开展科学研究，发表论文、出版专著，使中医药非遗文化得到进一步传承与创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三、关于“建议扶持非遗行业协会，发展社会力量参与非遗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保护”</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区为进一步调动社会力量参与文化遗产保护利用的积极性，提升福田城区文化软实力，根据《中华人民共和国非物质文化遗产法》等法律法规，结合福田区实际，于2022年初出台《福田区文化遗产保护利用扶持办法》，通过出台顶层设计政策文件，全面推进我区非物质文化保护利用扶持管理办法的创建工作。</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lang w:eastAsia="zh-CN"/>
        </w:rPr>
        <w:t>大力扶持非遗保护项目。我区每年在市文化广电旅游体育局财政预算支持下大力扶持非遗保护工作。有效推进《李氏筋伤点穴推拿术》《骆氏腹诊推拿术》等省级非遗项目代表性传承人工作，进一步扩大我区非遗项目的知名度，我局多年被评为全市非遗保护工作先进单位。</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我区将南园街道作为试点，积极与深圳市非遗保护协会开展合作，强化基层非遗传承队伍建设。搭建“一十百千”梯队，成立南园非遗艺术团。南园街道通过民生微实事项目在8个社区开展集中培训，共培训8个项目（满绣、内画、皮影戏、奶茶、剪纸、脸谱、折纸、绳编）共768课时，重点培养10位社区非遗传承人，全面培训百名社区非遗志愿者，广泛培养千名社区非遗爱好者。</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增强场地服务和资金投入。我区南园街道作为“非遗在社区”全国试点街区，创新采用“1+1”模式，每个社区设立一个非遗名家工作室和一个传习坊，利用社区图书馆提供不少于100平米的传习展示场地，每个项目每年在南园非遗馆或美术馆举办一次集中展览。</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eastAsia="zh-CN"/>
        </w:rPr>
        <w:t>下一步，我区将用好</w:t>
      </w:r>
      <w:r>
        <w:rPr>
          <w:rFonts w:hint="eastAsia" w:ascii="仿宋_GB2312" w:hAnsi="仿宋_GB2312" w:eastAsia="仿宋_GB2312" w:cs="仿宋_GB2312"/>
          <w:sz w:val="32"/>
          <w:szCs w:val="32"/>
          <w:lang w:val="en-US" w:eastAsia="zh-CN"/>
        </w:rPr>
        <w:t>《福田区文化遗产保护利用扶持办法》，引入更多社会资源参与文化遗产保护利用，加大对非遗行业协会、非遗工坊、非遗传承基地及非遗代表性传承人的扶持力度，扎实推进“非遗在社区”试点工作，</w:t>
      </w:r>
      <w:r>
        <w:rPr>
          <w:rFonts w:hint="eastAsia" w:ascii="仿宋_GB2312" w:hAnsi="仿宋_GB2312" w:eastAsia="仿宋_GB2312" w:cs="仿宋_GB2312"/>
          <w:color w:val="auto"/>
          <w:sz w:val="32"/>
          <w:szCs w:val="32"/>
        </w:rPr>
        <w:t>充分发挥</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文化育民、惠民、乐民的</w:t>
      </w:r>
      <w:r>
        <w:rPr>
          <w:rFonts w:hint="eastAsia" w:ascii="仿宋_GB2312" w:hAnsi="仿宋_GB2312" w:eastAsia="仿宋_GB2312" w:cs="仿宋_GB2312"/>
          <w:color w:val="auto"/>
          <w:sz w:val="32"/>
          <w:szCs w:val="32"/>
          <w:lang w:eastAsia="zh-CN"/>
        </w:rPr>
        <w:t>社教</w:t>
      </w:r>
      <w:r>
        <w:rPr>
          <w:rFonts w:hint="eastAsia" w:ascii="仿宋_GB2312" w:hAnsi="仿宋_GB2312" w:eastAsia="仿宋_GB2312" w:cs="仿宋_GB2312"/>
          <w:color w:val="auto"/>
          <w:sz w:val="32"/>
          <w:szCs w:val="32"/>
        </w:rPr>
        <w:t>作用，让人民群众有更多的文化获得感，满足感，幸福感。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四、关于“建议活化非遗资源经济，搭建文化特色产业国际消费圈”</w:t>
      </w:r>
    </w:p>
    <w:p>
      <w:pPr>
        <w:pStyle w:val="2"/>
        <w:keepNext w:val="0"/>
        <w:keepLines w:val="0"/>
        <w:pageBreakBefore w:val="0"/>
        <w:widowControl w:val="0"/>
        <w:kinsoku/>
        <w:wordWrap/>
        <w:overflowPunct/>
        <w:topLinePunct w:val="0"/>
        <w:bidi w:val="0"/>
        <w:snapToGrid/>
        <w:spacing w:line="580" w:lineRule="exact"/>
        <w:ind w:left="0" w:firstLine="640" w:firstLineChars="200"/>
        <w:jc w:val="left"/>
        <w:textAlignment w:val="auto"/>
        <w:rPr>
          <w:rFonts w:hint="eastAsia"/>
          <w:lang w:eastAsia="zh-CN"/>
        </w:rPr>
      </w:pPr>
      <w:r>
        <w:rPr>
          <w:rFonts w:hint="eastAsia" w:ascii="仿宋_GB2312" w:hAnsi="仿宋_GB2312" w:eastAsia="仿宋_GB2312" w:cs="仿宋_GB2312"/>
          <w:sz w:val="32"/>
          <w:szCs w:val="32"/>
          <w:lang w:eastAsia="zh-CN"/>
        </w:rPr>
        <w:t>近年来，我区围绕举旗帜、聚民心、育新人、兴文化、展形象，充分发挥深圳中心城区粤港澳大湾区核心引擎作用，以文化涵养心灵，以文脉赓续传统，</w:t>
      </w:r>
      <w:r>
        <w:rPr>
          <w:rFonts w:hint="eastAsia" w:ascii="仿宋_GB2312" w:hAnsi="仿宋_GB2312" w:eastAsia="仿宋_GB2312" w:cs="仿宋_GB2312"/>
          <w:sz w:val="32"/>
          <w:szCs w:val="32"/>
          <w:lang w:val="en-US" w:eastAsia="zh-CN"/>
        </w:rPr>
        <w:t>活化非遗资源经济，搭建文化特色产业国际消费圈。</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Hans"/>
        </w:rPr>
        <w:t>促进</w:t>
      </w:r>
      <w:r>
        <w:rPr>
          <w:rFonts w:hint="eastAsia" w:ascii="仿宋_GB2312" w:hAnsi="仿宋_GB2312" w:eastAsia="仿宋_GB2312" w:cs="仿宋_GB2312"/>
          <w:sz w:val="32"/>
          <w:szCs w:val="32"/>
          <w:lang w:val="en-US" w:eastAsia="zh-CN"/>
        </w:rPr>
        <w:t>深粤港澳大湾区乡亲同宗同源文化认同感，精心打造了福田区品牌文化活动“围村风情季”，以福田区15个围村蕴含的丰厚底蕴为基础，活化利用围村丰富的非遗资源，开展沉浸式围村风情体验，并先后邀请香港</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"http://www.baidu.com/link?url=uYbhkWEuCYvwtA660d4RC5U9T6UdGDs3359Q-AKrHCr1AmkLT73Zchn6QzC8McSSXKzSLcCTL4XdkXNfJshEoN4olzS1f36xprxilF2ICZy" \t "/home/chenminghan/文档\\x/_blank"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上水马草龙村</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、新界元朗十八乡等乡亲参与，为粤港澳大湾区市民献上精彩的围村民俗文化盛宴。</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借力我区</w:t>
      </w:r>
      <w:r>
        <w:rPr>
          <w:rFonts w:ascii="仿宋_GB2312" w:hAnsi="仿宋_GB2312" w:eastAsia="仿宋_GB2312" w:cs="仿宋_GB2312"/>
          <w:sz w:val="32"/>
          <w:szCs w:val="32"/>
        </w:rPr>
        <w:t>现象级城市作品“节日大道”</w:t>
      </w:r>
      <w:r>
        <w:rPr>
          <w:rFonts w:hint="eastAsia" w:ascii="仿宋_GB2312" w:hAnsi="仿宋_GB2312" w:eastAsia="仿宋_GB2312" w:cs="仿宋_GB2312"/>
          <w:sz w:val="32"/>
          <w:szCs w:val="32"/>
          <w:lang w:eastAsia="zh-CN"/>
        </w:rPr>
        <w:t>，作为展示粤港澳大湾区融合发展的交流平台，今年</w:t>
      </w:r>
      <w:r>
        <w:rPr>
          <w:rFonts w:hint="eastAsia" w:ascii="仿宋_GB2312" w:hAnsi="仿宋_GB2312" w:eastAsia="仿宋_GB2312" w:cs="仿宋_GB2312"/>
          <w:sz w:val="32"/>
          <w:szCs w:val="32"/>
          <w:lang w:val="en-US" w:eastAsia="zh-CN"/>
        </w:rPr>
        <w:t>5月在节日大道举办</w:t>
      </w:r>
      <w:r>
        <w:rPr>
          <w:rFonts w:hint="eastAsia" w:ascii="仿宋_GB2312" w:hAnsi="仿宋_GB2312" w:eastAsia="仿宋_GB2312" w:cs="仿宋_GB2312"/>
          <w:b w:val="0"/>
          <w:bCs w:val="0"/>
          <w:color w:val="auto"/>
          <w:sz w:val="32"/>
          <w:szCs w:val="32"/>
        </w:rPr>
        <w:t>“港·潮流”购物节</w:t>
      </w:r>
      <w:r>
        <w:rPr>
          <w:rFonts w:hint="eastAsia" w:ascii="仿宋_GB2312" w:hAnsi="仿宋_GB2312" w:eastAsia="仿宋_GB2312" w:cs="仿宋_GB2312"/>
          <w:b w:val="0"/>
          <w:bCs w:val="0"/>
          <w:color w:val="auto"/>
          <w:sz w:val="32"/>
          <w:szCs w:val="32"/>
          <w:lang w:eastAsia="zh-CN"/>
        </w:rPr>
        <w:t>，云集近</w:t>
      </w:r>
      <w:r>
        <w:rPr>
          <w:rFonts w:hint="eastAsia" w:ascii="仿宋_GB2312" w:hAnsi="仿宋_GB2312" w:eastAsia="仿宋_GB2312" w:cs="仿宋_GB2312"/>
          <w:b w:val="0"/>
          <w:bCs w:val="0"/>
          <w:color w:val="auto"/>
          <w:sz w:val="32"/>
          <w:szCs w:val="32"/>
          <w:lang w:val="en-US" w:eastAsia="zh-CN"/>
        </w:rPr>
        <w:t>80家香港参展商，汇聚超过130家香港品牌，其中有四成香港品牌首次进入内地市场，香港行政长官李家超也被吸引前来“购物”打卡。今年端午节，节日大道举行大</w:t>
      </w:r>
      <w:r>
        <w:rPr>
          <w:rFonts w:hint="eastAsia" w:ascii="仿宋_GB2312" w:hAnsi="仿宋_GB2312" w:eastAsia="仿宋_GB2312" w:cs="仿宋_GB2312"/>
          <w:b w:val="0"/>
          <w:bCs w:val="0"/>
          <w:color w:val="auto"/>
          <w:sz w:val="32"/>
          <w:szCs w:val="32"/>
        </w:rPr>
        <w:t>型</w:t>
      </w:r>
      <w:r>
        <w:rPr>
          <w:rFonts w:hint="eastAsia" w:ascii="仿宋_GB2312" w:hAnsi="仿宋_GB2312" w:eastAsia="仿宋_GB2312" w:cs="仿宋_GB2312"/>
          <w:b w:val="0"/>
          <w:bCs w:val="0"/>
          <w:color w:val="auto"/>
          <w:sz w:val="32"/>
          <w:szCs w:val="32"/>
          <w:lang w:eastAsia="zh-CN"/>
        </w:rPr>
        <w:t>非遗</w:t>
      </w:r>
      <w:r>
        <w:rPr>
          <w:rFonts w:hint="eastAsia" w:ascii="仿宋_GB2312" w:hAnsi="仿宋_GB2312" w:eastAsia="仿宋_GB2312" w:cs="仿宋_GB2312"/>
          <w:b w:val="0"/>
          <w:bCs w:val="0"/>
          <w:color w:val="auto"/>
          <w:sz w:val="32"/>
          <w:szCs w:val="32"/>
        </w:rPr>
        <w:t>活动“狮王争霸赛”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邀请了来自香港、广州、深圳及潮汕地区共15支优秀龙狮队参赛</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整合CBD商圈与</w:t>
      </w:r>
      <w:r>
        <w:rPr>
          <w:rFonts w:hint="eastAsia" w:ascii="仿宋_GB2312" w:hAnsi="仿宋_GB2312" w:eastAsia="仿宋_GB2312" w:cs="仿宋_GB2312"/>
          <w:color w:val="auto"/>
          <w:sz w:val="32"/>
          <w:szCs w:val="32"/>
          <w:lang w:eastAsia="zh-CN"/>
        </w:rPr>
        <w:t>福田区围村非遗</w:t>
      </w:r>
      <w:r>
        <w:rPr>
          <w:rFonts w:hint="eastAsia" w:ascii="仿宋_GB2312" w:hAnsi="仿宋_GB2312" w:eastAsia="仿宋_GB2312" w:cs="仿宋_GB2312"/>
          <w:color w:val="auto"/>
          <w:sz w:val="32"/>
          <w:szCs w:val="32"/>
        </w:rPr>
        <w:t>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今年</w:t>
      </w:r>
      <w:r>
        <w:rPr>
          <w:rFonts w:hint="eastAsia" w:ascii="仿宋_GB2312" w:hAnsi="仿宋_GB2312" w:eastAsia="仿宋_GB2312" w:cs="仿宋_GB2312"/>
          <w:kern w:val="2"/>
          <w:sz w:val="32"/>
          <w:szCs w:val="32"/>
          <w:lang w:val="en-US" w:eastAsia="zh-CN" w:bidi="ar-SA"/>
        </w:rPr>
        <w:t>端午节期间，100余家深潮非遗市集联动福田10余家商圈，200万元的“潮州文旅消费券”火热派发，4家节日大道商圈已与6项潮州非遗项目达成长期落地合作意向。一系列高品</w:t>
      </w:r>
      <w:r>
        <w:rPr>
          <w:rFonts w:hint="eastAsia" w:ascii="仿宋_GB2312" w:hAnsi="仿宋_GB2312" w:eastAsia="仿宋_GB2312" w:cs="仿宋_GB2312"/>
          <w:b w:val="0"/>
          <w:bCs w:val="0"/>
          <w:sz w:val="32"/>
          <w:szCs w:val="32"/>
          <w:lang w:val="en-US" w:eastAsia="zh-CN"/>
        </w:rPr>
        <w:t>质非遗文化活动和</w:t>
      </w:r>
      <w:r>
        <w:rPr>
          <w:rFonts w:hint="eastAsia" w:ascii="仿宋_GB2312" w:hAnsi="仿宋_GB2312" w:eastAsia="仿宋_GB2312" w:cs="仿宋_GB2312"/>
          <w:b w:val="0"/>
          <w:bCs w:val="0"/>
          <w:color w:val="auto"/>
          <w:kern w:val="2"/>
          <w:sz w:val="32"/>
          <w:szCs w:val="32"/>
          <w:lang w:val="en-US" w:eastAsia="zh-CN" w:bidi="ar-SA"/>
        </w:rPr>
        <w:t>丰富多元的特色消费场景，</w:t>
      </w:r>
      <w:r>
        <w:rPr>
          <w:rFonts w:hint="eastAsia" w:ascii="仿宋_GB2312" w:hAnsi="仿宋_GB2312" w:eastAsia="仿宋_GB2312" w:cs="仿宋_GB2312"/>
          <w:b w:val="0"/>
          <w:bCs w:val="0"/>
          <w:sz w:val="32"/>
          <w:szCs w:val="32"/>
          <w:lang w:val="en-US" w:eastAsia="zh-CN"/>
        </w:rPr>
        <w:t>提升了福田旅游热度</w:t>
      </w:r>
      <w:r>
        <w:rPr>
          <w:rFonts w:hint="eastAsia" w:ascii="仿宋_GB2312" w:hAnsi="仿宋_GB2312" w:eastAsia="仿宋_GB2312" w:cs="仿宋_GB2312"/>
          <w:b w:val="0"/>
          <w:bCs w:val="0"/>
          <w:color w:val="auto"/>
          <w:kern w:val="2"/>
          <w:sz w:val="32"/>
          <w:szCs w:val="32"/>
          <w:lang w:val="en-US" w:eastAsia="zh-CN" w:bidi="ar-SA"/>
        </w:rPr>
        <w:t>，今年上半年助力福田区住宿业实现营业额20.61亿元，增长40.4%；餐饮业实现营业额120.2亿元，增长21%。</w:t>
      </w:r>
      <w:r>
        <w:rPr>
          <w:rFonts w:hint="eastAsia" w:ascii="仿宋_GB2312" w:hAnsi="仿宋_GB2312" w:eastAsia="仿宋_GB2312" w:cs="仿宋_GB2312"/>
          <w:kern w:val="2"/>
          <w:sz w:val="32"/>
          <w:szCs w:val="32"/>
          <w:lang w:val="en-US" w:eastAsia="zh-CN" w:bidi="ar-SA"/>
        </w:rPr>
        <w:t>一个以文化特色搭建起的产业国际消费圈雏形初现。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eastAsia="zh-CN"/>
        </w:rPr>
        <w:t>下一步，将</w:t>
      </w:r>
      <w:r>
        <w:rPr>
          <w:rFonts w:hint="eastAsia" w:ascii="仿宋_GB2312" w:hAnsi="仿宋_GB2312" w:eastAsia="仿宋_GB2312" w:cs="仿宋_GB2312"/>
          <w:color w:val="auto"/>
          <w:sz w:val="32"/>
          <w:szCs w:val="32"/>
        </w:rPr>
        <w:t>统筹整合各方资源，</w:t>
      </w:r>
      <w:r>
        <w:rPr>
          <w:rFonts w:hint="eastAsia" w:ascii="仿宋_GB2312" w:hAnsi="仿宋_GB2312" w:eastAsia="仿宋_GB2312" w:cs="仿宋_GB2312"/>
          <w:color w:val="auto"/>
          <w:sz w:val="32"/>
          <w:szCs w:val="32"/>
          <w:lang w:eastAsia="zh-CN"/>
        </w:rPr>
        <w:t>持续</w:t>
      </w:r>
      <w:r>
        <w:rPr>
          <w:rFonts w:hint="eastAsia" w:ascii="仿宋_GB2312" w:hAnsi="仿宋_GB2312" w:eastAsia="仿宋_GB2312" w:cs="仿宋_GB2312"/>
          <w:color w:val="auto"/>
          <w:sz w:val="32"/>
          <w:szCs w:val="32"/>
        </w:rPr>
        <w:t>打造形式多元、内容优质的福田</w:t>
      </w:r>
      <w:r>
        <w:rPr>
          <w:rFonts w:hint="eastAsia" w:ascii="仿宋_GB2312" w:hAnsi="仿宋_GB2312" w:eastAsia="仿宋_GB2312" w:cs="仿宋_GB2312"/>
          <w:color w:val="auto"/>
          <w:sz w:val="32"/>
          <w:szCs w:val="32"/>
          <w:lang w:eastAsia="zh-CN"/>
        </w:rPr>
        <w:t>非遗与</w:t>
      </w:r>
      <w:r>
        <w:rPr>
          <w:rFonts w:hint="eastAsia" w:ascii="仿宋_GB2312" w:hAnsi="仿宋_GB2312" w:eastAsia="仿宋_GB2312" w:cs="仿宋_GB2312"/>
          <w:color w:val="auto"/>
          <w:sz w:val="32"/>
          <w:szCs w:val="32"/>
        </w:rPr>
        <w:t>商圈</w:t>
      </w:r>
      <w:r>
        <w:rPr>
          <w:rFonts w:hint="eastAsia" w:ascii="仿宋_GB2312" w:hAnsi="仿宋_GB2312" w:eastAsia="仿宋_GB2312" w:cs="仿宋_GB2312"/>
          <w:color w:val="auto"/>
          <w:sz w:val="32"/>
          <w:szCs w:val="32"/>
          <w:lang w:eastAsia="zh-CN"/>
        </w:rPr>
        <w:t>融入的“产业空间”</w:t>
      </w:r>
      <w:r>
        <w:rPr>
          <w:rFonts w:hint="eastAsia" w:ascii="仿宋_GB2312" w:hAnsi="仿宋_GB2312" w:eastAsia="仿宋_GB2312" w:cs="仿宋_GB2312"/>
          <w:color w:val="auto"/>
          <w:sz w:val="32"/>
          <w:szCs w:val="32"/>
        </w:rPr>
        <w:t>，创建经济效益和社会效益并重的文化品牌，形成“周周有活动，季季有主题，全年都精彩”的都市商圈文化氛围，有效提升商圈的文化品质和城市功能，为加快国际消费中心城市核心区建设，提升我区商圈在国际上的影响力发挥积极作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特此回复。</w:t>
      </w:r>
    </w:p>
    <w:p>
      <w:pPr>
        <w:keepNext w:val="0"/>
        <w:keepLines w:val="0"/>
        <w:pageBreakBefore w:val="0"/>
        <w:widowControl w:val="0"/>
        <w:kinsoku/>
        <w:wordWrap/>
        <w:overflowPunct/>
        <w:topLinePunct w:val="0"/>
        <w:autoSpaceDE/>
        <w:autoSpaceDN/>
        <w:bidi w:val="0"/>
        <w:adjustRightInd/>
        <w:snapToGrid/>
        <w:spacing w:line="580" w:lineRule="exact"/>
        <w:ind w:left="0" w:firstLine="320" w:firstLineChars="100"/>
        <w:textAlignment w:val="auto"/>
        <w:rPr>
          <w:rFonts w:hint="eastAsia" w:ascii="仿宋_GB2312" w:hAnsi="仿宋_GB2312" w:eastAsia="仿宋_GB2312" w:cs="仿宋_GB2312"/>
          <w:b w:val="0"/>
          <w:bCs w:val="0"/>
          <w:color w:val="auto"/>
          <w:sz w:val="32"/>
          <w:szCs w:val="32"/>
          <w:lang w:val="en-US" w:eastAsia="zh-CN"/>
        </w:rPr>
      </w:pPr>
    </w:p>
    <w:p>
      <w:pPr>
        <w:pStyle w:val="3"/>
        <w:keepNext w:val="0"/>
        <w:keepLines w:val="0"/>
        <w:pageBreakBefore w:val="0"/>
        <w:widowControl w:val="0"/>
        <w:kinsoku/>
        <w:wordWrap/>
        <w:overflowPunct/>
        <w:topLinePunct w:val="0"/>
        <w:bidi w:val="0"/>
        <w:snapToGrid/>
        <w:spacing w:line="580" w:lineRule="exact"/>
        <w:ind w:left="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320" w:firstLineChars="1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福田区文化广电旅游体育局</w:t>
      </w:r>
    </w:p>
    <w:p>
      <w:pPr>
        <w:keepNext w:val="0"/>
        <w:keepLines w:val="0"/>
        <w:pageBreakBefore w:val="0"/>
        <w:widowControl w:val="0"/>
        <w:kinsoku/>
        <w:wordWrap/>
        <w:overflowPunct/>
        <w:topLinePunct w:val="0"/>
        <w:autoSpaceDE/>
        <w:autoSpaceDN/>
        <w:bidi w:val="0"/>
        <w:adjustRightInd/>
        <w:snapToGrid/>
        <w:spacing w:line="580" w:lineRule="exact"/>
        <w:ind w:left="0" w:firstLine="320" w:firstLineChars="1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2023年10月12日 </w:t>
      </w:r>
    </w:p>
    <w:p>
      <w:pPr>
        <w:pStyle w:val="3"/>
        <w:keepNext w:val="0"/>
        <w:keepLines w:val="0"/>
        <w:pageBreakBefore w:val="0"/>
        <w:widowControl w:val="0"/>
        <w:kinsoku/>
        <w:wordWrap/>
        <w:overflowPunct/>
        <w:topLinePunct w:val="0"/>
        <w:bidi w:val="0"/>
        <w:snapToGrid/>
        <w:spacing w:line="580" w:lineRule="exact"/>
        <w:ind w:left="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（联系人：陈明汉，联系电话：13556863266）</w:t>
      </w:r>
    </w:p>
    <w:p>
      <w:pPr>
        <w:keepNext w:val="0"/>
        <w:keepLines w:val="0"/>
        <w:pageBreakBefore w:val="0"/>
        <w:widowControl w:val="0"/>
        <w:kinsoku/>
        <w:wordWrap/>
        <w:overflowPunct/>
        <w:topLinePunct w:val="0"/>
        <w:autoSpaceDE/>
        <w:autoSpaceDN/>
        <w:bidi w:val="0"/>
        <w:adjustRightInd/>
        <w:snapToGrid/>
        <w:spacing w:line="580" w:lineRule="exact"/>
        <w:ind w:left="0" w:firstLine="320" w:firstLineChars="1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bidi w:val="0"/>
        <w:snapToGrid/>
        <w:spacing w:line="580" w:lineRule="exact"/>
        <w:ind w:left="0"/>
        <w:textAlignment w:val="auto"/>
      </w:pPr>
    </w:p>
    <w:p>
      <w:pPr>
        <w:keepNext w:val="0"/>
        <w:keepLines w:val="0"/>
        <w:pageBreakBefore w:val="0"/>
        <w:widowControl w:val="0"/>
        <w:kinsoku/>
        <w:wordWrap/>
        <w:overflowPunct/>
        <w:topLinePunct w:val="0"/>
        <w:bidi w:val="0"/>
        <w:snapToGrid/>
        <w:spacing w:line="580" w:lineRule="exact"/>
        <w:ind w:left="0"/>
        <w:textAlignment w:val="auto"/>
      </w:pPr>
    </w:p>
    <w:sectPr>
      <w:footerReference r:id="rId5" w:type="default"/>
      <w:pgSz w:w="11906" w:h="16838"/>
      <w:pgMar w:top="2098" w:right="1474" w:bottom="1984" w:left="1588" w:header="851" w:footer="992" w:gutter="0"/>
      <w:pgNumType w:fmt="numberInDash" w:start="2"/>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BA3848-7349-4F5E-8781-2C91B846D1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F9B8537-76CA-4D51-ABC2-FA9420865C5D}"/>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00000001" w:usb1="080E0000" w:usb2="00000000" w:usb3="00000000" w:csb0="00040000" w:csb1="00000000"/>
    <w:embedRegular r:id="rId3" w:fontKey="{A8B2B55B-42CD-4D7B-9530-844921951B84}"/>
  </w:font>
  <w:font w:name="仿宋_GB2312">
    <w:panose1 w:val="02010609030101010101"/>
    <w:charset w:val="86"/>
    <w:family w:val="auto"/>
    <w:pitch w:val="default"/>
    <w:sig w:usb0="00000001" w:usb1="080E0000" w:usb2="00000000" w:usb3="00000000" w:csb0="00040000" w:csb1="00000000"/>
    <w:embedRegular r:id="rId4" w:fontKey="{4DB31BA5-E930-408B-8396-A958317EB132}"/>
  </w:font>
  <w:font w:name="楷体_GB2312">
    <w:panose1 w:val="02010609030101010101"/>
    <w:charset w:val="86"/>
    <w:family w:val="modern"/>
    <w:pitch w:val="default"/>
    <w:sig w:usb0="00000001" w:usb1="080E0000" w:usb2="00000000" w:usb3="00000000" w:csb0="00040000" w:csb1="00000000"/>
    <w:embedRegular r:id="rId5" w:fontKey="{A5D5A6ED-DA77-4AEB-951F-E7BFF05EF7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1"/>
        <w:rFonts w:hint="eastAsia"/>
      </w:rP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1"/>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kd3MrTAQAAsQMAAA4AAABkcnMvZTJvRG9jLnhtbK1TzY7TMBC+I/EO&#10;lu80aQ6oipquENUiJAQrLTyA6ziNJf9pxm1SXgaJGw/B4yBeg7GTdJflsgcuzszY/ub7Pk+2N6M1&#10;7KwAtXcNX69KzpSTvtXu2PAvn29fbTjDKFwrjHeq4ReF/Gb38sV2CLWqfO9Nq4ARiMN6CA3vYwx1&#10;UaDslRW48kE52uw8WBEphWPRghgI3ZqiKsvXxeChDeClQqTqftrkMyI8B9B3nZZq7+XJKhcnVFBG&#10;RJKEvQ7Id5lt1ykZP3UdqshMw0lpzCs1ofiQ1mK3FfURROi1nCmI51B4oskK7ajpFWovomAn0P9A&#10;WS3Bo+/iSnpbTEKyI6RiXT7x5r4XQWUtZDWGq+n4/2Dlx/MdMN02vOLMCUsP/vvbj18/v7MqeTME&#10;rOnIfbiDOUMKk9CxA5u+JIGN2c/L1U81RiapuN5Um01JVkvaWxLCKR6uB8D4TnnLUtBwoAfLPorz&#10;B4zT0eVI6ub8rTaG6qI27q8CYaZKkRhPHFMUx8M4Ez/49kJSafKpT+/hK2cDvXvDHY05Z+a9I1vT&#10;iCwBLMFhCYSTdLHhkbMpfBunUToF0MeecNeZPIY3p0hMs4BEY+o9s6OXzBbMU5dG5XGeTz38ab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kd3MrTAQAAsQMAAA4AAAAAAAAAAQAgAAAAHwEA&#10;AGRycy9lMm9Eb2MueG1sUEsFBgAAAAAGAAYAWQEAAGQFAAAAAA==&#10;">
              <v:fill on="f" focussize="0,0"/>
              <v:stroke on="f"/>
              <v:imagedata o:title=""/>
              <o:lock v:ext="edit" aspectratio="f"/>
              <v:textbox inset="0mm,0mm,0mm,0mm" style="mso-fit-shape-to-text:t;">
                <w:txbxContent>
                  <w:p>
                    <w:pPr>
                      <w:pStyle w:val="7"/>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rect>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DB5F8D18"/>
    <w:rsid w:val="1F5A7259"/>
    <w:rsid w:val="246844B9"/>
    <w:rsid w:val="2FBDFB47"/>
    <w:rsid w:val="34F85082"/>
    <w:rsid w:val="359BD8E5"/>
    <w:rsid w:val="39EA5803"/>
    <w:rsid w:val="39FF4A04"/>
    <w:rsid w:val="460E68E7"/>
    <w:rsid w:val="4D7085E4"/>
    <w:rsid w:val="503264BF"/>
    <w:rsid w:val="57D6BAAE"/>
    <w:rsid w:val="5D7F9300"/>
    <w:rsid w:val="5EFC0BA7"/>
    <w:rsid w:val="5F7E9AF3"/>
    <w:rsid w:val="5FEE45CD"/>
    <w:rsid w:val="5FFE660E"/>
    <w:rsid w:val="64A1087E"/>
    <w:rsid w:val="69FF8B2F"/>
    <w:rsid w:val="6FFA60AD"/>
    <w:rsid w:val="72AA56C3"/>
    <w:rsid w:val="73EE0A53"/>
    <w:rsid w:val="74272E4A"/>
    <w:rsid w:val="7577C07C"/>
    <w:rsid w:val="7D3C4A2F"/>
    <w:rsid w:val="7DB55ED4"/>
    <w:rsid w:val="7E9BC80B"/>
    <w:rsid w:val="7EF3934A"/>
    <w:rsid w:val="7F3FC0F8"/>
    <w:rsid w:val="7FFB6E5A"/>
    <w:rsid w:val="89CFEC51"/>
    <w:rsid w:val="8FE7FFDE"/>
    <w:rsid w:val="B7FB1DD5"/>
    <w:rsid w:val="BBFFF0AA"/>
    <w:rsid w:val="CF976604"/>
    <w:rsid w:val="DB5F8D18"/>
    <w:rsid w:val="DFFF08DF"/>
    <w:rsid w:val="E47D02CF"/>
    <w:rsid w:val="EFEF8C03"/>
    <w:rsid w:val="F7D66F06"/>
    <w:rsid w:val="F9EE39B4"/>
    <w:rsid w:val="FBCF8A05"/>
    <w:rsid w:val="FBFF6183"/>
    <w:rsid w:val="FEF3FEC5"/>
    <w:rsid w:val="FF5B9298"/>
    <w:rsid w:val="FFB70976"/>
    <w:rsid w:val="FFFD0B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line="390" w:lineRule="atLeast"/>
      <w:jc w:val="left"/>
      <w:outlineLvl w:val="0"/>
    </w:pPr>
    <w:rPr>
      <w:rFonts w:hint="eastAsia" w:ascii="微软雅黑" w:hAnsi="微软雅黑" w:eastAsia="微软雅黑" w:cs="Times New Roman"/>
      <w:b/>
      <w:kern w:val="44"/>
      <w:sz w:val="2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ascii="宋体"/>
      <w:sz w:val="44"/>
    </w:rPr>
  </w:style>
  <w:style w:type="paragraph" w:styleId="4">
    <w:name w:val="index 8"/>
    <w:basedOn w:val="1"/>
    <w:next w:val="1"/>
    <w:autoRedefine/>
    <w:unhideWhenUsed/>
    <w:qFormat/>
    <w:uiPriority w:val="99"/>
    <w:pPr>
      <w:ind w:left="2940"/>
    </w:pPr>
  </w:style>
  <w:style w:type="paragraph" w:styleId="5">
    <w:name w:val="Normal Indent"/>
    <w:basedOn w:val="1"/>
    <w:autoRedefine/>
    <w:unhideWhenUsed/>
    <w:qFormat/>
    <w:uiPriority w:val="99"/>
    <w:pPr>
      <w:ind w:firstLine="420"/>
    </w:pPr>
    <w:rPr>
      <w:rFonts w:ascii="Calibri" w:hAnsi="Calibri" w:eastAsia="宋体" w:cs="Times New Roman"/>
    </w:rPr>
  </w:style>
  <w:style w:type="paragraph" w:styleId="6">
    <w:name w:val="Plain Text"/>
    <w:basedOn w:val="1"/>
    <w:next w:val="4"/>
    <w:autoRedefine/>
    <w:unhideWhenUsed/>
    <w:qFormat/>
    <w:uiPriority w:val="99"/>
    <w:rPr>
      <w:rFonts w:ascii="宋体" w:hAnsi="Calibri" w:cs="Courier New"/>
      <w:szCs w:val="21"/>
    </w:rPr>
  </w:style>
  <w:style w:type="paragraph" w:styleId="7">
    <w:name w:val="footer"/>
    <w:basedOn w:val="1"/>
    <w:autoRedefine/>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autoRedefine/>
    <w:unhideWhenUsed/>
    <w:qFormat/>
    <w:uiPriority w:val="0"/>
    <w:pPr>
      <w:tabs>
        <w:tab w:val="center" w:pos="4153"/>
        <w:tab w:val="right" w:pos="8306"/>
      </w:tabs>
      <w:snapToGrid w:val="0"/>
      <w:jc w:val="center"/>
    </w:pPr>
    <w:rPr>
      <w:rFonts w:ascii="Calibri" w:hAnsi="Calibri"/>
      <w:sz w:val="18"/>
      <w:szCs w:val="18"/>
    </w:rPr>
  </w:style>
  <w:style w:type="character" w:styleId="11">
    <w:name w:val="page number"/>
    <w:basedOn w:val="10"/>
    <w:autoRedefine/>
    <w:unhideWhenUsed/>
    <w:qFormat/>
    <w:uiPriority w:val="99"/>
  </w:style>
  <w:style w:type="paragraph" w:customStyle="1" w:styleId="12">
    <w:name w:val="引文目录标题1"/>
    <w:next w:val="1"/>
    <w:autoRedefine/>
    <w:qFormat/>
    <w:uiPriority w:val="0"/>
    <w:pPr>
      <w:widowControl w:val="0"/>
      <w:spacing w:line="360" w:lineRule="auto"/>
      <w:ind w:firstLine="480"/>
      <w:jc w:val="both"/>
    </w:pPr>
    <w:rPr>
      <w:rFonts w:ascii="Arial" w:hAnsi="Arial" w:eastAsia="Arial" w:cs="Arial"/>
      <w:color w:val="000000"/>
      <w:kern w:val="0"/>
      <w:sz w:val="24"/>
      <w:szCs w:val="24"/>
      <w:lang w:val="en-US" w:eastAsia="zh-CN" w:bidi="ar-SA"/>
    </w:rPr>
  </w:style>
  <w:style w:type="paragraph" w:customStyle="1" w:styleId="13">
    <w:name w:val="PlainText"/>
    <w:basedOn w:val="1"/>
    <w:autoRedefine/>
    <w:qFormat/>
    <w:uiPriority w:val="0"/>
    <w:pPr>
      <w:spacing w:line="240" w:lineRule="auto"/>
      <w:jc w:val="both"/>
      <w:textAlignment w:val="baseline"/>
    </w:pPr>
    <w:rPr>
      <w:rFonts w:ascii="宋体" w:hAnsi="Courier New" w:eastAsia="宋体"/>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2023-10-13T10:05:00Z</dcterms:created>
  <dc:creator>chenminghan</dc:creator>
  <cp:lastModifiedBy>GHH</cp:lastModifiedBy>
  <dcterms:modified xsi:type="dcterms:W3CDTF">2024-01-03T12:07:15Z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5C92FBE6FD674D60969F8C0794162E75_13</vt:lpwstr>
  </property>
</Properties>
</file>