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关于深圳市福田区第八届人民代表大会第三次会议建议《关于进一步增加福田区运动场地</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的建议》（第20230161号）的回复</w:t>
      </w:r>
    </w:p>
    <w:p>
      <w:pPr>
        <w:keepNext w:val="0"/>
        <w:keepLines w:val="0"/>
        <w:pageBreakBefore w:val="0"/>
        <w:widowControl w:val="0"/>
        <w:kinsoku/>
        <w:wordWrap/>
        <w:overflowPunct/>
        <w:topLinePunct w:val="0"/>
        <w:autoSpaceDE/>
        <w:autoSpaceDN/>
        <w:bidi w:val="0"/>
        <w:adjustRightInd/>
        <w:snapToGrid/>
        <w:spacing w:line="579" w:lineRule="exact"/>
        <w:ind w:right="0"/>
        <w:jc w:val="center"/>
        <w:textAlignment w:val="auto"/>
        <w:rPr>
          <w:rFonts w:hint="eastAsia" w:ascii="方正小标宋_GBK" w:hAnsi="方正小标宋_GBK" w:eastAsia="方正小标宋_GBK" w:cs="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79" w:lineRule="exact"/>
        <w:ind w:right="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尊敬的</w:t>
      </w:r>
      <w:r>
        <w:rPr>
          <w:rFonts w:hint="eastAsia" w:ascii="仿宋_GB2312" w:hAnsi="仿宋_GB2312" w:eastAsia="仿宋_GB2312" w:cs="仿宋_GB2312"/>
          <w:sz w:val="32"/>
          <w:szCs w:val="32"/>
        </w:rPr>
        <w:t>黄远兵</w:t>
      </w:r>
      <w:r>
        <w:rPr>
          <w:rFonts w:hint="eastAsia" w:ascii="仿宋_GB2312" w:eastAsia="仿宋_GB2312"/>
          <w:sz w:val="32"/>
          <w:szCs w:val="32"/>
          <w:highlight w:val="none"/>
        </w:rPr>
        <w:t>等</w:t>
      </w:r>
      <w:r>
        <w:rPr>
          <w:rFonts w:hint="eastAsia" w:ascii="仿宋_GB2312"/>
          <w:sz w:val="32"/>
          <w:szCs w:val="32"/>
          <w:highlight w:val="none"/>
          <w:lang w:eastAsia="zh-CN"/>
        </w:rPr>
        <w:t>代表</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right="0" w:firstLine="640" w:firstLineChars="200"/>
        <w:jc w:val="left"/>
        <w:textAlignment w:val="auto"/>
        <w:rPr>
          <w:rFonts w:hint="eastAsia" w:ascii="仿宋_GB2312" w:eastAsia="仿宋_GB2312"/>
          <w:sz w:val="32"/>
          <w:szCs w:val="32"/>
          <w:highlight w:val="none"/>
        </w:rPr>
      </w:pPr>
      <w:r>
        <w:rPr>
          <w:rFonts w:hint="eastAsia" w:ascii="仿宋_GB2312"/>
          <w:sz w:val="32"/>
          <w:szCs w:val="32"/>
          <w:highlight w:val="none"/>
          <w:lang w:eastAsia="zh-CN"/>
        </w:rPr>
        <w:t>你们</w:t>
      </w:r>
      <w:r>
        <w:rPr>
          <w:rFonts w:hint="eastAsia" w:ascii="仿宋_GB2312" w:eastAsia="仿宋_GB2312"/>
          <w:sz w:val="32"/>
          <w:szCs w:val="32"/>
          <w:highlight w:val="none"/>
        </w:rPr>
        <w:t>好！</w:t>
      </w:r>
      <w:r>
        <w:rPr>
          <w:rFonts w:hint="eastAsia" w:ascii="仿宋_GB2312"/>
          <w:sz w:val="32"/>
          <w:szCs w:val="32"/>
          <w:highlight w:val="none"/>
          <w:lang w:eastAsia="zh-CN"/>
        </w:rPr>
        <w:t>你们</w:t>
      </w:r>
      <w:r>
        <w:rPr>
          <w:rFonts w:hint="eastAsia" w:ascii="仿宋_GB2312" w:eastAsia="仿宋_GB2312"/>
          <w:sz w:val="32"/>
          <w:szCs w:val="32"/>
          <w:highlight w:val="none"/>
        </w:rPr>
        <w:t>在区八届人大三次会议代表建议《关于进一步增加福田区运动场地的建议》（第20230161号）已收悉。首先感谢</w:t>
      </w:r>
      <w:r>
        <w:rPr>
          <w:rFonts w:hint="eastAsia" w:ascii="仿宋_GB2312"/>
          <w:sz w:val="32"/>
          <w:szCs w:val="32"/>
          <w:highlight w:val="none"/>
          <w:lang w:eastAsia="zh-CN"/>
        </w:rPr>
        <w:t>你们</w:t>
      </w:r>
      <w:r>
        <w:rPr>
          <w:rFonts w:hint="eastAsia" w:ascii="仿宋_GB2312" w:eastAsia="仿宋_GB2312"/>
          <w:sz w:val="32"/>
          <w:szCs w:val="32"/>
          <w:highlight w:val="none"/>
        </w:rPr>
        <w:t>对福田区文化体育工作的关心和重视，所提建议对我单位具有重要的参考价值和指导意义</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我局已于今年</w:t>
      </w:r>
      <w:r>
        <w:rPr>
          <w:rFonts w:hint="eastAsia" w:ascii="仿宋_GB2312"/>
          <w:sz w:val="32"/>
          <w:szCs w:val="32"/>
          <w:lang w:val="en-US" w:eastAsia="zh-CN"/>
        </w:rPr>
        <w:t>5</w:t>
      </w:r>
      <w:r>
        <w:rPr>
          <w:rFonts w:hint="eastAsia" w:ascii="仿宋_GB2312" w:eastAsia="仿宋_GB2312"/>
          <w:sz w:val="32"/>
          <w:szCs w:val="32"/>
          <w:lang w:val="en-US" w:eastAsia="zh-CN"/>
        </w:rPr>
        <w:t>月成立</w:t>
      </w:r>
      <w:r>
        <w:rPr>
          <w:rFonts w:hint="eastAsia" w:ascii="仿宋_GB2312" w:eastAsia="仿宋_GB2312"/>
          <w:sz w:val="32"/>
          <w:szCs w:val="32"/>
        </w:rPr>
        <w:t>福田区文化广电旅游体育局办理20</w:t>
      </w:r>
      <w:r>
        <w:rPr>
          <w:rFonts w:hint="eastAsia" w:ascii="仿宋_GB2312"/>
          <w:sz w:val="32"/>
          <w:szCs w:val="32"/>
          <w:lang w:val="en-US" w:eastAsia="zh-CN"/>
        </w:rPr>
        <w:t>23</w:t>
      </w:r>
      <w:r>
        <w:rPr>
          <w:rFonts w:hint="eastAsia" w:ascii="仿宋_GB2312" w:eastAsia="仿宋_GB2312"/>
          <w:sz w:val="32"/>
          <w:szCs w:val="32"/>
        </w:rPr>
        <w:t>年度人大建议和政协提案领导小组</w:t>
      </w:r>
      <w:r>
        <w:rPr>
          <w:rFonts w:hint="eastAsia" w:ascii="仿宋_GB2312" w:eastAsia="仿宋_GB2312"/>
          <w:sz w:val="32"/>
          <w:szCs w:val="32"/>
          <w:lang w:eastAsia="zh-CN"/>
        </w:rPr>
        <w:t>，</w:t>
      </w:r>
      <w:r>
        <w:rPr>
          <w:rFonts w:hint="eastAsia" w:ascii="仿宋_GB2312" w:eastAsia="仿宋_GB2312"/>
          <w:sz w:val="32"/>
          <w:szCs w:val="32"/>
          <w:highlight w:val="none"/>
        </w:rPr>
        <w:t>经</w:t>
      </w:r>
      <w:r>
        <w:rPr>
          <w:rFonts w:hint="eastAsia" w:ascii="仿宋_GB2312" w:eastAsia="仿宋_GB2312"/>
          <w:sz w:val="32"/>
          <w:szCs w:val="32"/>
          <w:highlight w:val="none"/>
          <w:lang w:eastAsia="zh-CN"/>
        </w:rPr>
        <w:t>领导小组</w:t>
      </w:r>
      <w:r>
        <w:rPr>
          <w:rFonts w:hint="eastAsia" w:ascii="仿宋_GB2312" w:eastAsia="仿宋_GB2312"/>
          <w:sz w:val="32"/>
          <w:szCs w:val="32"/>
          <w:highlight w:val="none"/>
        </w:rPr>
        <w:t>研究，结合实际情况，现将办理情况答复如下：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一、结合上级体育行政部门关于体育场地的统计任务要求，我局每年委托第三方专业机构，深入福田区各街道、社区、公园。商圈、园区，开展体育场地普查工作，了解居民对于健身场地的需求，形成普查公报，为区政府下一步决策提供参考依据。截至目前，</w:t>
      </w:r>
      <w:r>
        <w:rPr>
          <w:rFonts w:hint="eastAsia" w:ascii="仿宋_GB2312" w:hAnsi="仿宋_GB2312" w:eastAsia="仿宋_GB2312" w:cs="仿宋_GB2312"/>
          <w:color w:val="000000"/>
          <w:kern w:val="0"/>
          <w:sz w:val="32"/>
          <w:szCs w:val="32"/>
          <w:lang w:val="en-US" w:eastAsia="zh-CN"/>
        </w:rPr>
        <w:t>全区</w:t>
      </w:r>
      <w:r>
        <w:rPr>
          <w:rFonts w:hint="eastAsia" w:ascii="仿宋_GB2312" w:hAnsi="仿宋_GB2312" w:eastAsia="仿宋_GB2312" w:cs="仿宋_GB2312"/>
          <w:color w:val="000000"/>
          <w:kern w:val="0"/>
          <w:sz w:val="32"/>
          <w:szCs w:val="32"/>
        </w:rPr>
        <w:t>体育场地总面积</w:t>
      </w:r>
      <w:r>
        <w:rPr>
          <w:rFonts w:hint="eastAsia" w:ascii="仿宋_GB2312" w:hAnsi="仿宋_GB2312" w:eastAsia="仿宋_GB2312" w:cs="仿宋_GB2312"/>
          <w:kern w:val="0"/>
          <w:sz w:val="32"/>
          <w:szCs w:val="32"/>
          <w:lang w:val="en-US" w:eastAsia="zh-CN"/>
        </w:rPr>
        <w:t>466.8</w:t>
      </w:r>
      <w:r>
        <w:rPr>
          <w:rFonts w:hint="eastAsia" w:ascii="仿宋_GB2312" w:hAnsi="仿宋_GB2312" w:eastAsia="仿宋_GB2312" w:cs="仿宋_GB2312"/>
          <w:color w:val="000000"/>
          <w:kern w:val="0"/>
          <w:sz w:val="32"/>
          <w:szCs w:val="32"/>
        </w:rPr>
        <w:t>万平方米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人均体育面积3.0</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平方米，</w:t>
      </w:r>
      <w:r>
        <w:rPr>
          <w:rFonts w:hint="eastAsia" w:ascii="仿宋_GB2312" w:hAnsi="宋体" w:eastAsia="仿宋_GB2312"/>
          <w:color w:val="auto"/>
          <w:sz w:val="32"/>
          <w:szCs w:val="32"/>
          <w:highlight w:val="none"/>
        </w:rPr>
        <w:t>排名全市前列</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000000"/>
          <w:kern w:val="0"/>
          <w:sz w:val="32"/>
          <w:szCs w:val="32"/>
        </w:rPr>
        <w:t>现有各类体育场地2</w:t>
      </w:r>
      <w:r>
        <w:rPr>
          <w:rFonts w:hint="eastAsia" w:ascii="仿宋_GB2312" w:hAnsi="仿宋_GB2312" w:eastAsia="仿宋_GB2312" w:cs="仿宋_GB2312"/>
          <w:color w:val="000000"/>
          <w:kern w:val="0"/>
          <w:sz w:val="32"/>
          <w:szCs w:val="32"/>
          <w:lang w:val="en-US" w:eastAsia="zh-CN"/>
        </w:rPr>
        <w:t>487</w:t>
      </w:r>
      <w:r>
        <w:rPr>
          <w:rFonts w:hint="eastAsia" w:ascii="仿宋_GB2312" w:hAnsi="仿宋_GB2312" w:eastAsia="仿宋_GB2312" w:cs="仿宋_GB2312"/>
          <w:color w:val="000000"/>
          <w:kern w:val="0"/>
          <w:sz w:val="32"/>
          <w:szCs w:val="32"/>
        </w:rPr>
        <w:t>个，辖区10个街道92个社区共有</w:t>
      </w:r>
      <w:r>
        <w:rPr>
          <w:rFonts w:hint="eastAsia" w:ascii="仿宋_GB2312" w:hAnsi="仿宋_GB2312" w:eastAsia="仿宋_GB2312" w:cs="仿宋_GB2312"/>
          <w:color w:val="000000"/>
          <w:kern w:val="0"/>
          <w:sz w:val="32"/>
          <w:szCs w:val="32"/>
          <w:lang w:eastAsia="zh-CN"/>
        </w:rPr>
        <w:t>室外</w:t>
      </w:r>
      <w:r>
        <w:rPr>
          <w:rFonts w:hint="eastAsia" w:ascii="仿宋_GB2312" w:hAnsi="仿宋_GB2312" w:eastAsia="仿宋_GB2312" w:cs="仿宋_GB2312"/>
          <w:color w:val="000000"/>
          <w:kern w:val="0"/>
          <w:sz w:val="32"/>
          <w:szCs w:val="32"/>
        </w:rPr>
        <w:t>健身路径</w:t>
      </w:r>
      <w:r>
        <w:rPr>
          <w:rFonts w:hint="eastAsia" w:ascii="仿宋_GB2312" w:hAnsi="仿宋_GB2312" w:eastAsia="仿宋_GB2312" w:cs="仿宋_GB2312"/>
          <w:color w:val="000000"/>
          <w:kern w:val="0"/>
          <w:sz w:val="32"/>
          <w:szCs w:val="32"/>
          <w:lang w:val="en-US" w:eastAsia="zh-CN"/>
        </w:rPr>
        <w:t>550</w:t>
      </w:r>
      <w:r>
        <w:rPr>
          <w:rFonts w:hint="eastAsia" w:ascii="仿宋_GB2312" w:hAnsi="仿宋_GB2312" w:eastAsia="仿宋_GB2312" w:cs="仿宋_GB2312"/>
          <w:color w:val="000000"/>
          <w:kern w:val="0"/>
          <w:sz w:val="32"/>
          <w:szCs w:val="32"/>
        </w:rPr>
        <w:t>套</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区属九大公共体育场馆每年免费开放40天</w:t>
      </w:r>
      <w:r>
        <w:rPr>
          <w:rFonts w:hint="eastAsia" w:ascii="仿宋_GB2312" w:hAnsi="仿宋_GB2312" w:cs="仿宋_GB2312"/>
          <w:color w:val="000000"/>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right="0"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为满足人民群众日益增加的强身健体、丰富业余生活的需求，市规划和自然资源局福田管理局高度重视体育运动场地规划建设，在《福田区国土空间分区规划(2021-2035年)》(在编)中对运动场地统筹考虑多途径加大体育设施空间。鼓励支持存量运动场地的改扩建，并鼓励利用道路防护绿地、各类公园、高架桥底等空间复合利用设置健身设施加强社区体育运动场地规划建设，盘活消极公共空间，实现 10分钟健身圈全覆盖，满足广大市民群众多层次多样化的健身需求。在此前提下，我局联合城管局、建工署等职能部门，大力推动体育场地设施建设。</w:t>
      </w:r>
    </w:p>
    <w:p>
      <w:pPr>
        <w:keepNext w:val="0"/>
        <w:keepLines w:val="0"/>
        <w:pageBreakBefore w:val="0"/>
        <w:widowControl w:val="0"/>
        <w:kinsoku/>
        <w:wordWrap/>
        <w:overflowPunct/>
        <w:topLinePunct w:val="0"/>
        <w:autoSpaceDE/>
        <w:autoSpaceDN/>
        <w:bidi w:val="0"/>
        <w:spacing w:line="579" w:lineRule="exact"/>
        <w:ind w:firstLine="640"/>
        <w:textAlignment w:val="auto"/>
        <w:rPr>
          <w:rFonts w:hint="eastAsia" w:ascii="仿宋_GB2312" w:hAnsi="仿宋_GB2312" w:eastAsia="仿宋_GB2312" w:cs="仿宋_GB2312"/>
          <w:color w:val="000000"/>
          <w:sz w:val="32"/>
          <w:szCs w:val="32"/>
          <w:lang w:eastAsia="zh-CN" w:bidi="ar"/>
        </w:rPr>
      </w:pPr>
      <w:r>
        <w:rPr>
          <w:rFonts w:hint="eastAsia" w:ascii="仿宋_GB2312" w:hAnsi="仿宋_GB2312" w:cs="仿宋_GB2312"/>
          <w:b/>
          <w:bCs/>
          <w:color w:val="000000"/>
          <w:sz w:val="32"/>
          <w:szCs w:val="32"/>
          <w:lang w:eastAsia="zh-CN" w:bidi="ar"/>
        </w:rPr>
        <w:t>（</w:t>
      </w:r>
      <w:r>
        <w:rPr>
          <w:rFonts w:hint="eastAsia" w:ascii="仿宋_GB2312" w:hAnsi="仿宋_GB2312" w:cs="仿宋_GB2312"/>
          <w:b/>
          <w:bCs/>
          <w:color w:val="000000"/>
          <w:sz w:val="32"/>
          <w:szCs w:val="32"/>
          <w:lang w:val="en-US" w:eastAsia="zh-CN" w:bidi="ar"/>
        </w:rPr>
        <w:t>一）</w:t>
      </w:r>
      <w:r>
        <w:rPr>
          <w:rFonts w:hint="eastAsia" w:ascii="仿宋_GB2312" w:hAnsi="仿宋_GB2312" w:eastAsia="仿宋_GB2312" w:cs="仿宋_GB2312"/>
          <w:b/>
          <w:bCs/>
          <w:color w:val="000000"/>
          <w:sz w:val="32"/>
          <w:szCs w:val="32"/>
          <w:lang w:bidi="ar"/>
        </w:rPr>
        <w:t>全国首创水质净化厂上盖足球主题公园。</w:t>
      </w:r>
      <w:r>
        <w:rPr>
          <w:rFonts w:hint="eastAsia" w:ascii="仿宋_GB2312" w:hAnsi="仿宋_GB2312" w:eastAsia="仿宋_GB2312" w:cs="仿宋_GB2312"/>
          <w:color w:val="000000"/>
          <w:sz w:val="32"/>
          <w:szCs w:val="32"/>
          <w:lang w:bidi="ar"/>
        </w:rPr>
        <w:t>以足球为主题的福田海滨生态体育公园占地7.6万平方米，拥有2个标准11人足球场、4个7人足球场、2个5人足球场及配套公共设施等，总投资8554万。</w:t>
      </w:r>
    </w:p>
    <w:p>
      <w:pPr>
        <w:keepNext w:val="0"/>
        <w:keepLines w:val="0"/>
        <w:pageBreakBefore w:val="0"/>
        <w:widowControl w:val="0"/>
        <w:kinsoku/>
        <w:wordWrap/>
        <w:overflowPunct/>
        <w:topLinePunct w:val="0"/>
        <w:autoSpaceDE/>
        <w:autoSpaceDN/>
        <w:bidi w:val="0"/>
        <w:spacing w:line="579" w:lineRule="exact"/>
        <w:ind w:firstLine="640"/>
        <w:textAlignment w:val="auto"/>
        <w:rPr>
          <w:rFonts w:hint="eastAsia" w:ascii="仿宋_GB2312" w:hAnsi="仿宋_GB2312" w:eastAsia="仿宋_GB2312" w:cs="仿宋_GB2312"/>
          <w:color w:val="000000"/>
          <w:sz w:val="32"/>
          <w:szCs w:val="32"/>
          <w:lang w:bidi="ar"/>
        </w:rPr>
      </w:pPr>
      <w:r>
        <w:rPr>
          <w:rFonts w:hint="eastAsia" w:ascii="仿宋_GB2312" w:hAnsi="仿宋_GB2312" w:cs="仿宋_GB2312"/>
          <w:b/>
          <w:bCs/>
          <w:color w:val="000000"/>
          <w:sz w:val="32"/>
          <w:szCs w:val="32"/>
          <w:lang w:eastAsia="zh-CN" w:bidi="ar"/>
        </w:rPr>
        <w:t>（</w:t>
      </w:r>
      <w:r>
        <w:rPr>
          <w:rFonts w:hint="eastAsia" w:ascii="仿宋_GB2312" w:hAnsi="仿宋_GB2312" w:cs="仿宋_GB2312"/>
          <w:b/>
          <w:bCs/>
          <w:color w:val="000000"/>
          <w:sz w:val="32"/>
          <w:szCs w:val="32"/>
          <w:lang w:val="en-US" w:eastAsia="zh-CN" w:bidi="ar"/>
        </w:rPr>
        <w:t>二）</w:t>
      </w:r>
      <w:r>
        <w:rPr>
          <w:rFonts w:hint="eastAsia" w:ascii="仿宋_GB2312" w:hAnsi="仿宋_GB2312" w:eastAsia="仿宋_GB2312" w:cs="仿宋_GB2312"/>
          <w:b/>
          <w:bCs/>
          <w:color w:val="000000"/>
          <w:sz w:val="32"/>
          <w:szCs w:val="32"/>
          <w:lang w:bidi="ar"/>
        </w:rPr>
        <w:t>利用</w:t>
      </w:r>
      <w:r>
        <w:rPr>
          <w:rFonts w:hint="eastAsia" w:ascii="楷体_GB2312" w:hAnsi="楷体_GB2312" w:eastAsia="楷体_GB2312" w:cs="楷体_GB2312"/>
          <w:b/>
          <w:kern w:val="0"/>
          <w:sz w:val="32"/>
          <w:szCs w:val="32"/>
        </w:rPr>
        <w:t>社会空间建成22块公共足球场。</w:t>
      </w:r>
      <w:r>
        <w:rPr>
          <w:rFonts w:hint="eastAsia" w:ascii="仿宋_GB2312" w:hAnsi="仿宋_GB2312" w:eastAsia="仿宋_GB2312" w:cs="仿宋_GB2312"/>
          <w:color w:val="000000"/>
          <w:sz w:val="32"/>
          <w:szCs w:val="32"/>
          <w:lang w:bidi="ar"/>
        </w:rPr>
        <w:t>采用“政府资助、民建民营”方式，在园岭花园等2个社区和深圳文化创意园等5个产业园区的楼宇天台建设22块足球场地，有效满足了周边居民、上班族的健身需求。</w:t>
      </w:r>
    </w:p>
    <w:p>
      <w:pPr>
        <w:keepNext w:val="0"/>
        <w:keepLines w:val="0"/>
        <w:pageBreakBefore w:val="0"/>
        <w:widowControl w:val="0"/>
        <w:kinsoku/>
        <w:wordWrap/>
        <w:overflowPunct/>
        <w:topLinePunct w:val="0"/>
        <w:autoSpaceDE/>
        <w:autoSpaceDN/>
        <w:bidi w:val="0"/>
        <w:spacing w:line="579" w:lineRule="exact"/>
        <w:ind w:firstLine="643" w:firstLineChars="200"/>
        <w:jc w:val="left"/>
        <w:textAlignment w:val="auto"/>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rPr>
        <w:t>打造城市体育综合体全新空间模式。</w:t>
      </w:r>
      <w:r>
        <w:rPr>
          <w:rFonts w:hint="eastAsia" w:ascii="仿宋_GB2312" w:hAnsi="Calibri" w:eastAsia="仿宋_GB2312" w:cs="仿宋_GB2312"/>
          <w:color w:val="000000"/>
          <w:sz w:val="32"/>
          <w:szCs w:val="32"/>
          <w:lang w:bidi="ar"/>
        </w:rPr>
        <w:t>创新建设</w:t>
      </w:r>
      <w:r>
        <w:rPr>
          <w:rFonts w:ascii="仿宋_GB2312" w:hAnsi="Calibri" w:eastAsia="仿宋_GB2312" w:cs="仿宋_GB2312"/>
          <w:color w:val="000000"/>
          <w:sz w:val="32"/>
          <w:szCs w:val="32"/>
          <w:lang w:bidi="ar"/>
        </w:rPr>
        <w:t>国际体育文化交流中心</w:t>
      </w:r>
      <w:r>
        <w:rPr>
          <w:rFonts w:hint="eastAsia" w:ascii="仿宋_GB2312" w:hAnsi="Calibri" w:eastAsia="仿宋_GB2312" w:cs="仿宋_GB2312"/>
          <w:color w:val="000000"/>
          <w:sz w:val="32"/>
          <w:szCs w:val="32"/>
          <w:lang w:bidi="ar"/>
        </w:rPr>
        <w:t>，</w:t>
      </w:r>
      <w:r>
        <w:rPr>
          <w:rFonts w:hint="eastAsia" w:ascii="仿宋_GB2312" w:hAnsi="仿宋_GB2312" w:eastAsia="仿宋_GB2312" w:cs="仿宋_GB2312"/>
          <w:color w:val="000000"/>
          <w:sz w:val="32"/>
          <w:szCs w:val="32"/>
          <w:lang w:bidi="ar"/>
        </w:rPr>
        <w:t>项目占地面积8600平方米，建筑面积近10万平方米，总投资13亿元，202</w:t>
      </w:r>
      <w:r>
        <w:rPr>
          <w:rFonts w:hint="eastAsia" w:ascii="仿宋_GB2312" w:hAnsi="仿宋_GB2312" w:eastAsia="仿宋_GB2312" w:cs="仿宋_GB2312"/>
          <w:color w:val="000000"/>
          <w:sz w:val="32"/>
          <w:szCs w:val="32"/>
          <w:lang w:val="en-US" w:eastAsia="zh-CN" w:bidi="ar"/>
        </w:rPr>
        <w:t>4</w:t>
      </w:r>
      <w:r>
        <w:rPr>
          <w:rFonts w:hint="eastAsia" w:ascii="仿宋_GB2312" w:hAnsi="仿宋_GB2312" w:eastAsia="仿宋_GB2312" w:cs="仿宋_GB2312"/>
          <w:color w:val="000000"/>
          <w:sz w:val="32"/>
          <w:szCs w:val="32"/>
          <w:lang w:bidi="ar"/>
        </w:rPr>
        <w:t>年建成后，预计每年可接待市民数百万人次，成为世界级文体设施新标杆。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eastAsia="仿宋_GB2312"/>
          <w:snapToGrid w:val="0"/>
          <w:sz w:val="32"/>
          <w:szCs w:val="32"/>
          <w:lang w:eastAsia="zh-CN"/>
        </w:rPr>
        <w:t>在未来的中心公园内，一条1/4马拉松（约12km）长度的山水跑步环将串联不同主题分区，在各环线上结合景观布置有健全丰富的体育设施，例如篮球场、足球场、羽毛球场、乒乓球台、攀岩营地、门球场、小轮车场地、室外健身房等，运动场地总面积接近2万平米。建成后将进一步推动各运动场馆、文化产业企业的进驻和群众体育运动开展，进一步满足我区居民日益增长的大众体育文化需求，丰富市民日常体育锻炼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特此回复，再次感谢你们</w:t>
      </w:r>
      <w:r>
        <w:rPr>
          <w:rFonts w:hint="eastAsia" w:ascii="仿宋_GB2312" w:eastAsia="仿宋_GB2312"/>
          <w:sz w:val="32"/>
          <w:szCs w:val="32"/>
          <w:highlight w:val="none"/>
        </w:rPr>
        <w:t>对福田区文化体育工作</w:t>
      </w:r>
      <w:r>
        <w:rPr>
          <w:rFonts w:hint="eastAsia" w:ascii="仿宋_GB2312"/>
          <w:sz w:val="32"/>
          <w:szCs w:val="32"/>
          <w:highlight w:val="none"/>
          <w:lang w:eastAsia="zh-CN"/>
        </w:rPr>
        <w:t>的大力支持！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firstLine="640" w:firstLineChars="200"/>
        <w:jc w:val="both"/>
        <w:textAlignment w:val="auto"/>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ascii="仿宋_GB2312" w:eastAsia="仿宋_GB2312"/>
          <w:sz w:val="32"/>
          <w:szCs w:val="32"/>
        </w:rPr>
      </w:pPr>
      <w:r>
        <w:rPr>
          <w:rFonts w:hint="eastAsia" w:ascii="仿宋_GB2312" w:eastAsia="仿宋_GB2312"/>
          <w:sz w:val="32"/>
          <w:szCs w:val="32"/>
        </w:rPr>
        <w:t>福田区文化广电旅游体育局</w:t>
      </w:r>
    </w:p>
    <w:p>
      <w:pPr>
        <w:keepNext w:val="0"/>
        <w:keepLines w:val="0"/>
        <w:pageBreakBefore w:val="0"/>
        <w:widowControl w:val="0"/>
        <w:kinsoku/>
        <w:wordWrap w:val="0"/>
        <w:overflowPunct/>
        <w:topLinePunct w:val="0"/>
        <w:autoSpaceDE/>
        <w:autoSpaceDN/>
        <w:bidi w:val="0"/>
        <w:adjustRightInd/>
        <w:snapToGrid/>
        <w:spacing w:line="579" w:lineRule="exact"/>
        <w:ind w:left="0" w:leftChars="0" w:right="0"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rPr>
        <w:t>20</w:t>
      </w:r>
      <w:r>
        <w:rPr>
          <w:rFonts w:hint="eastAsia" w:ascii="仿宋_GB2312"/>
          <w:sz w:val="32"/>
          <w:szCs w:val="32"/>
          <w:lang w:val="en-US" w:eastAsia="zh-CN"/>
        </w:rPr>
        <w:t>23</w:t>
      </w:r>
      <w:r>
        <w:rPr>
          <w:rFonts w:hint="eastAsia" w:ascii="仿宋_GB2312" w:eastAsia="仿宋_GB2312"/>
          <w:sz w:val="32"/>
          <w:szCs w:val="32"/>
        </w:rPr>
        <w:t>年</w:t>
      </w:r>
      <w:r>
        <w:rPr>
          <w:rFonts w:hint="eastAsia" w:ascii="仿宋_GB2312"/>
          <w:sz w:val="32"/>
          <w:szCs w:val="32"/>
          <w:lang w:val="en-US" w:eastAsia="zh-CN"/>
        </w:rPr>
        <w:t>5</w:t>
      </w:r>
      <w:r>
        <w:rPr>
          <w:rFonts w:hint="eastAsia" w:ascii="仿宋_GB2312" w:eastAsia="仿宋_GB2312"/>
          <w:sz w:val="32"/>
          <w:szCs w:val="32"/>
        </w:rPr>
        <w:t>月</w:t>
      </w:r>
      <w:r>
        <w:rPr>
          <w:rFonts w:hint="eastAsia" w:ascii="仿宋_GB2312"/>
          <w:sz w:val="32"/>
          <w:szCs w:val="32"/>
          <w:lang w:val="en-US" w:eastAsia="zh-CN"/>
        </w:rPr>
        <w:t>29</w:t>
      </w:r>
      <w:r>
        <w:rPr>
          <w:rFonts w:hint="eastAsia" w:ascii="仿宋_GB2312" w:eastAsia="仿宋_GB2312"/>
          <w:sz w:val="32"/>
          <w:szCs w:val="32"/>
        </w:rPr>
        <w:t>日</w:t>
      </w:r>
      <w:r>
        <w:rPr>
          <w:rFonts w:hint="eastAsia" w:ascii="仿宋_GB2312"/>
          <w:sz w:val="32"/>
          <w:szCs w:val="32"/>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jc w:val="center"/>
        <w:textAlignment w:val="auto"/>
        <w:rPr>
          <w:rFonts w:hint="eastAsia" w:ascii="仿宋_GB2312"/>
          <w:sz w:val="32"/>
          <w:szCs w:val="32"/>
          <w:lang w:val="en-US" w:eastAsia="zh-CN"/>
        </w:rPr>
      </w:pPr>
      <w:r>
        <w:rPr>
          <w:rFonts w:hint="eastAsia" w:ascii="仿宋_GB2312" w:eastAsia="仿宋_GB2312"/>
          <w:sz w:val="32"/>
          <w:szCs w:val="32"/>
          <w:lang w:eastAsia="zh-CN"/>
        </w:rPr>
        <w:t>（联系人：傅东阳</w:t>
      </w:r>
      <w:r>
        <w:rPr>
          <w:rFonts w:hint="eastAsia" w:ascii="仿宋_GB2312"/>
          <w:sz w:val="32"/>
          <w:szCs w:val="32"/>
          <w:lang w:val="en-US" w:eastAsia="zh-CN"/>
        </w:rPr>
        <w:t>，联系电话：15016015737</w:t>
      </w:r>
      <w:r>
        <w:rPr>
          <w:rFonts w:hint="eastAsia" w:ascii="仿宋_GB2312" w:eastAsia="仿宋_GB2312"/>
          <w:sz w:val="32"/>
          <w:szCs w:val="32"/>
          <w:lang w:eastAsia="zh-CN"/>
        </w:rPr>
        <w:t>）</w:t>
      </w:r>
    </w:p>
    <w:sectPr>
      <w:footerReference r:id="rId3" w:type="default"/>
      <w:pgSz w:w="11906" w:h="16838"/>
      <w:pgMar w:top="2098" w:right="1474" w:bottom="1984" w:left="1587" w:header="851" w:footer="992" w:gutter="0"/>
      <w:pgNumType w:fmt="numberInDash"/>
      <w:cols w:space="0" w:num="1"/>
      <w:titlePg/>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F42A8B6-846B-40A9-8FAC-33A49F885DA2}"/>
  </w:font>
  <w:font w:name="仿宋_GB2312">
    <w:panose1 w:val="02010609030101010101"/>
    <w:charset w:val="86"/>
    <w:family w:val="auto"/>
    <w:pitch w:val="default"/>
    <w:sig w:usb0="00000001" w:usb1="080E0000" w:usb2="00000000" w:usb3="00000000" w:csb0="00040000" w:csb1="00000000"/>
    <w:embedRegular r:id="rId2" w:fontKey="{47743196-6CCF-48C2-9E06-BAD0D1485269}"/>
  </w:font>
  <w:font w:name="方正小标宋_GBK">
    <w:panose1 w:val="02000000000000000000"/>
    <w:charset w:val="86"/>
    <w:family w:val="script"/>
    <w:pitch w:val="default"/>
    <w:sig w:usb0="00000001" w:usb1="080E0000" w:usb2="00000000" w:usb3="00000000" w:csb0="00040000" w:csb1="00000000"/>
    <w:embedRegular r:id="rId3" w:fontKey="{22A73E37-B1FA-437F-8DED-31950193F14D}"/>
  </w:font>
  <w:font w:name="楷体_GB2312">
    <w:panose1 w:val="02010609030101010101"/>
    <w:charset w:val="86"/>
    <w:family w:val="modern"/>
    <w:pitch w:val="default"/>
    <w:sig w:usb0="00000001" w:usb1="080E0000" w:usb2="00000000" w:usb3="00000000" w:csb0="00040000" w:csb1="00000000"/>
    <w:embedRegular r:id="rId4" w:fontKey="{8838C81C-A500-493B-B7CA-B76935E5A6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Fonts w:hint="eastAsia"/>
      </w:rP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F2B6A"/>
    <w:multiLevelType w:val="singleLevel"/>
    <w:tmpl w:val="FC3F2B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00000000"/>
    <w:rsid w:val="00A00284"/>
    <w:rsid w:val="0B0178E5"/>
    <w:rsid w:val="0BFB3172"/>
    <w:rsid w:val="11F95925"/>
    <w:rsid w:val="16BE51CD"/>
    <w:rsid w:val="179A71A5"/>
    <w:rsid w:val="1EBB7D76"/>
    <w:rsid w:val="21F93EE2"/>
    <w:rsid w:val="248337B5"/>
    <w:rsid w:val="27872A25"/>
    <w:rsid w:val="2BED1C5F"/>
    <w:rsid w:val="2CAB751D"/>
    <w:rsid w:val="313C66E5"/>
    <w:rsid w:val="3CCC3DC3"/>
    <w:rsid w:val="3EAC51E0"/>
    <w:rsid w:val="3F096D13"/>
    <w:rsid w:val="41D21724"/>
    <w:rsid w:val="434050CD"/>
    <w:rsid w:val="4BDA2011"/>
    <w:rsid w:val="4C9606CE"/>
    <w:rsid w:val="4DE34F5F"/>
    <w:rsid w:val="50FB0903"/>
    <w:rsid w:val="545E151B"/>
    <w:rsid w:val="57C25DA3"/>
    <w:rsid w:val="593228C1"/>
    <w:rsid w:val="5A8D3CB7"/>
    <w:rsid w:val="5D3563CB"/>
    <w:rsid w:val="604831A1"/>
    <w:rsid w:val="60947C01"/>
    <w:rsid w:val="62A127AC"/>
    <w:rsid w:val="63577B59"/>
    <w:rsid w:val="63BD714D"/>
    <w:rsid w:val="694E476B"/>
    <w:rsid w:val="69967F27"/>
    <w:rsid w:val="72380A95"/>
    <w:rsid w:val="77426DCF"/>
    <w:rsid w:val="7A103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link w:val="9"/>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widowControl w:val="0"/>
      <w:spacing w:line="360" w:lineRule="auto"/>
      <w:ind w:firstLine="420" w:firstLineChars="192"/>
      <w:jc w:val="both"/>
    </w:pPr>
  </w:style>
  <w:style w:type="paragraph" w:styleId="3">
    <w:name w:val="Body Text Indent"/>
    <w:basedOn w:val="1"/>
    <w:autoRedefine/>
    <w:qFormat/>
    <w:uiPriority w:val="0"/>
    <w:pPr>
      <w:widowControl w:val="0"/>
      <w:spacing w:line="360" w:lineRule="auto"/>
      <w:ind w:firstLine="538" w:firstLineChars="192"/>
      <w:jc w:val="both"/>
    </w:pPr>
  </w:style>
  <w:style w:type="paragraph" w:styleId="4">
    <w:name w:val="Body Text"/>
    <w:basedOn w:val="1"/>
    <w:autoRedefine/>
    <w:qFormat/>
    <w:uiPriority w:val="0"/>
    <w:pPr>
      <w:jc w:val="center"/>
    </w:pPr>
    <w:rPr>
      <w:rFonts w:ascii="宋体"/>
      <w:sz w:val="4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默认段落字体 Para Char Char"/>
    <w:basedOn w:val="1"/>
    <w:link w:val="8"/>
    <w:qFormat/>
    <w:uiPriority w:val="0"/>
  </w:style>
  <w:style w:type="character" w:styleId="10">
    <w:name w:val="page number"/>
    <w:basedOn w:val="8"/>
    <w:autoRedefine/>
    <w:qFormat/>
    <w:uiPriority w:val="0"/>
  </w:style>
  <w:style w:type="paragraph" w:customStyle="1"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1319</Words>
  <Characters>1372</Characters>
  <Lines>0</Lines>
  <Paragraphs>0</Paragraphs>
  <TotalTime>0</TotalTime>
  <ScaleCrop>false</ScaleCrop>
  <LinksUpToDate>false</LinksUpToDate>
  <CharactersWithSpaces>1377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ZXQ</dc:creator>
  <cp:lastModifiedBy>GHH</cp:lastModifiedBy>
  <cp:lastPrinted>2019-09-23T06:20:00Z</cp:lastPrinted>
  <dcterms:modified xsi:type="dcterms:W3CDTF">2024-01-03T11:37:43Z</dcterms:modified>
  <dc:title>深圳市福田区文化广电旅游体育局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6802FC40EA61435B9D0ABCE64EA952E5_13</vt:lpwstr>
  </property>
</Properties>
</file>