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1140"/>
        <w:gridCol w:w="2242"/>
        <w:gridCol w:w="1547"/>
        <w:gridCol w:w="2004"/>
        <w:gridCol w:w="2467"/>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福保街道2024年社会心理服务项目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400000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综合治理办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jc w:val="left"/>
              <w:textAlignment w:val="auto"/>
              <w:outlineLvl w:val="9"/>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为认真贯彻落实省市有关社会心理服务体系建设文件精神，福保街道在2024年将继续开展社会心理服务体</w:t>
            </w:r>
            <w:bookmarkStart w:id="0" w:name="_GoBack"/>
            <w:bookmarkEnd w:id="0"/>
            <w:r>
              <w:rPr>
                <w:rFonts w:hint="eastAsia" w:ascii="仿宋_GB2312" w:hAnsi="仿宋_GB2312" w:eastAsia="仿宋_GB2312" w:cs="仿宋_GB2312"/>
                <w:kern w:val="0"/>
                <w:sz w:val="24"/>
                <w:szCs w:val="24"/>
                <w:lang w:val="en-US" w:eastAsia="zh-CN" w:bidi="ar-SA"/>
              </w:rPr>
              <w:t>系建设项目，完善福保街道社会心理服务网络，全面提升街道心理服务水平，为辖区居民提供心理咨询、心理健康知识科普宣传等服务，满足居民日益增长的心理服务需求，提高辖区居民心理健康水平，应对防范化解重大风险，提升居民获得感、幸福感、安全感。</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keepNext w:val="0"/>
              <w:keepLines w:val="0"/>
              <w:widowControl/>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提供有心理咨询资质及丰富个案咨询经验的咨询师长期驻点街道及社区心理服务中心，服务时间为一年（工作日上班，根据街道需要，在街道及每个社区轮值驻点），为街道及辖区社区的工作人员及居民提供心理健康服务。每月在社区或街道开展至少一次的心理宣传教育讲座或活动，一年需开展40次讲座或活动。</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numPr>
                <w:ilvl w:val="0"/>
                <w:numId w:val="0"/>
              </w:num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2024年1月1日--2024年12月31日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本项目合同方式为总价合同，结算时按</w:t>
            </w:r>
            <w:r>
              <w:rPr>
                <w:rFonts w:hint="eastAsia" w:ascii="仿宋_GB2312" w:hAnsi="仿宋_GB2312" w:eastAsia="仿宋_GB2312" w:cs="仿宋_GB2312"/>
                <w:kern w:val="0"/>
                <w:sz w:val="24"/>
                <w:lang w:eastAsia="zh-CN"/>
              </w:rPr>
              <w:t>嫉季度</w:t>
            </w:r>
            <w:r>
              <w:rPr>
                <w:rFonts w:hint="eastAsia" w:ascii="仿宋_GB2312" w:hAnsi="仿宋_GB2312" w:eastAsia="仿宋_GB2312" w:cs="仿宋_GB2312"/>
                <w:kern w:val="0"/>
                <w:sz w:val="24"/>
              </w:rPr>
              <w:t>结算，中标单位</w:t>
            </w:r>
            <w:r>
              <w:rPr>
                <w:rFonts w:hint="eastAsia" w:ascii="仿宋_GB2312" w:hAnsi="仿宋_GB2312" w:eastAsia="仿宋_GB2312" w:cs="仿宋_GB2312"/>
                <w:kern w:val="0"/>
                <w:sz w:val="24"/>
                <w:lang w:eastAsia="zh-CN"/>
              </w:rPr>
              <w:t>每季度首月</w:t>
            </w:r>
            <w:r>
              <w:rPr>
                <w:rFonts w:hint="eastAsia" w:ascii="仿宋_GB2312" w:hAnsi="仿宋_GB2312" w:eastAsia="仿宋_GB2312" w:cs="仿宋_GB2312"/>
                <w:kern w:val="0"/>
                <w:sz w:val="24"/>
                <w:lang w:val="en-US" w:eastAsia="zh-CN"/>
              </w:rPr>
              <w:t>10日前</w:t>
            </w:r>
            <w:r>
              <w:rPr>
                <w:rFonts w:hint="eastAsia" w:ascii="仿宋_GB2312" w:hAnsi="仿宋_GB2312" w:eastAsia="仿宋_GB2312" w:cs="仿宋_GB2312"/>
                <w:kern w:val="0"/>
                <w:sz w:val="24"/>
              </w:rPr>
              <w:t>向采购人提供</w:t>
            </w:r>
            <w:r>
              <w:rPr>
                <w:rFonts w:hint="eastAsia" w:ascii="仿宋_GB2312" w:hAnsi="仿宋_GB2312" w:eastAsia="仿宋_GB2312" w:cs="仿宋_GB2312"/>
                <w:kern w:val="0"/>
                <w:sz w:val="24"/>
                <w:lang w:eastAsia="zh-CN"/>
              </w:rPr>
              <w:t>上一个季度</w:t>
            </w:r>
            <w:r>
              <w:rPr>
                <w:rFonts w:hint="eastAsia" w:ascii="仿宋_GB2312" w:hAnsi="仿宋_GB2312" w:eastAsia="仿宋_GB2312" w:cs="仿宋_GB2312"/>
                <w:kern w:val="0"/>
                <w:sz w:val="24"/>
              </w:rPr>
              <w:t>相应金额的正式税务发票，采购人</w:t>
            </w:r>
            <w:r>
              <w:rPr>
                <w:rFonts w:hint="eastAsia" w:ascii="仿宋_GB2312" w:hAnsi="仿宋_GB2312" w:eastAsia="仿宋_GB2312" w:cs="仿宋_GB2312"/>
                <w:kern w:val="0"/>
                <w:sz w:val="24"/>
                <w:lang w:eastAsia="zh-CN"/>
              </w:rPr>
              <w:t>每季度首月</w:t>
            </w:r>
            <w:r>
              <w:rPr>
                <w:rFonts w:hint="eastAsia" w:ascii="仿宋_GB2312" w:hAnsi="仿宋_GB2312" w:eastAsia="仿宋_GB2312" w:cs="仿宋_GB2312"/>
                <w:kern w:val="0"/>
                <w:sz w:val="24"/>
              </w:rPr>
              <w:t>25日前予以结算上个</w:t>
            </w:r>
            <w:r>
              <w:rPr>
                <w:rFonts w:hint="eastAsia" w:ascii="仿宋_GB2312" w:hAnsi="仿宋_GB2312" w:eastAsia="仿宋_GB2312" w:cs="仿宋_GB2312"/>
                <w:kern w:val="0"/>
                <w:sz w:val="24"/>
                <w:lang w:eastAsia="zh-CN"/>
              </w:rPr>
              <w:t>季度</w:t>
            </w:r>
            <w:r>
              <w:rPr>
                <w:rFonts w:hint="eastAsia" w:ascii="仿宋_GB2312" w:hAnsi="仿宋_GB2312" w:eastAsia="仿宋_GB2312" w:cs="仿宋_GB2312"/>
                <w:kern w:val="0"/>
                <w:sz w:val="24"/>
              </w:rPr>
              <w:t>服务费。因中标供应商延迟提供税务发票或因采购方经费审批流程原因造成延误的，采购方付款时间相应顺延。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40万元以内</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r>
              <w:rPr>
                <w:rFonts w:hint="default" w:ascii="仿宋_GB2312" w:hAnsi="仿宋_GB2312" w:eastAsia="仿宋_GB2312" w:cs="仿宋_GB2312"/>
                <w:kern w:val="0"/>
                <w:sz w:val="24"/>
                <w:lang w:val="en-US" w:eastAsia="zh-CN"/>
              </w:rPr>
              <w:t>营业执照、经营范围等相关资质复印件；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3、对此项目的运营提供详细的服务方案；</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5、项目相关案例、业绩等；</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7、可体现投标人综合实力及运营管理能力的其他资料。</w:t>
            </w:r>
          </w:p>
          <w:p>
            <w:pPr>
              <w:widowControl/>
              <w:spacing w:line="240" w:lineRule="auto"/>
              <w:ind w:firstLine="0" w:firstLineChars="0"/>
              <w:jc w:val="left"/>
              <w:rPr>
                <w:rFonts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11312983"/>
    <w:rsid w:val="14C24AD9"/>
    <w:rsid w:val="172C00A3"/>
    <w:rsid w:val="1759FDCA"/>
    <w:rsid w:val="18B761FE"/>
    <w:rsid w:val="194B399D"/>
    <w:rsid w:val="1AF3636A"/>
    <w:rsid w:val="1CD203FA"/>
    <w:rsid w:val="1D1041D7"/>
    <w:rsid w:val="251026CF"/>
    <w:rsid w:val="2E544988"/>
    <w:rsid w:val="2FBB6ACC"/>
    <w:rsid w:val="304A7E50"/>
    <w:rsid w:val="334D7C7F"/>
    <w:rsid w:val="340E45C5"/>
    <w:rsid w:val="3F1434CE"/>
    <w:rsid w:val="416451E2"/>
    <w:rsid w:val="447E6A90"/>
    <w:rsid w:val="4E144BA8"/>
    <w:rsid w:val="4E1E0521"/>
    <w:rsid w:val="552803FA"/>
    <w:rsid w:val="587C663C"/>
    <w:rsid w:val="5A771A36"/>
    <w:rsid w:val="5C8F69B7"/>
    <w:rsid w:val="5EBA216A"/>
    <w:rsid w:val="66AD6A92"/>
    <w:rsid w:val="66C374B6"/>
    <w:rsid w:val="68140C93"/>
    <w:rsid w:val="6A1555D3"/>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2023-11-02T09:41:00Z</dcterms:created>
  <dc:creator>lulu</dc:creator>
  <cp:lastModifiedBy>戴钦敏</cp:lastModifiedBy>
  <dcterms:modified xsi:type="dcterms:W3CDTF">2023-11-23T11:49:06Z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CC5B4AEC88494716B1BFCDEF74D384E0_13</vt:lpwstr>
  </property>
</Properties>
</file>