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季度用户水龙头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118"/>
        <w:gridCol w:w="5119"/>
        <w:gridCol w:w="868"/>
        <w:gridCol w:w="868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检测时间</w:t>
            </w:r>
          </w:p>
        </w:tc>
        <w:tc>
          <w:tcPr>
            <w:tcW w:w="5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福田区华强北街道华强北路华新村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福田区华富街道泥岗西路2012号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福田区园岭街道华富路与笋岗西路交界处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福田区莲花街道景田西路3号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福田区香蜜湖街道春田路2号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福田区南园街道滨河大道3155号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福田区园岭街道园岭二街1号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2023年10月19日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福田区福田街道福华五路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福田区福田街道福顺路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福田区梅林街道梅中路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福田区梅林街道下梅林一街3号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福田区梅林街道梅林路148号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福田区香蜜湖街道香水一街3号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福田区莲花街道景田北街50号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福田区福保街道福荣路益田街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福田区沙头街道新洲九街184号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福田区沙头街道新沙街3号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2023年10月20日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  <w:bookmarkStart w:id="0" w:name="_GoBack"/>
            <w:bookmarkEnd w:id="0"/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F4254CC"/>
    <w:rsid w:val="0FDB1AEE"/>
    <w:rsid w:val="13672C84"/>
    <w:rsid w:val="1706331C"/>
    <w:rsid w:val="19314F13"/>
    <w:rsid w:val="19DD60C9"/>
    <w:rsid w:val="1C67208F"/>
    <w:rsid w:val="20AE478C"/>
    <w:rsid w:val="24CF02DD"/>
    <w:rsid w:val="290446C4"/>
    <w:rsid w:val="29171CA9"/>
    <w:rsid w:val="30CF285C"/>
    <w:rsid w:val="318419E3"/>
    <w:rsid w:val="320B050F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B287551"/>
    <w:rsid w:val="5FA173E7"/>
    <w:rsid w:val="5FFA5BB1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5461</Words>
  <Characters>5781</Characters>
  <Lines>381</Lines>
  <Paragraphs>107</Paragraphs>
  <TotalTime>1</TotalTime>
  <ScaleCrop>false</ScaleCrop>
  <LinksUpToDate>false</LinksUpToDate>
  <CharactersWithSpaces>5781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热带龟</cp:lastModifiedBy>
  <cp:lastPrinted>2021-11-08T09:51:00Z</cp:lastPrinted>
  <dcterms:modified xsi:type="dcterms:W3CDTF">2023-11-15T01:54:52Z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94B7E5C6DD054EE5A2B30EEBCFCC4B59</vt:lpwstr>
  </property>
</Properties>
</file>