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40" w:lineRule="auto"/>
        <w:ind w:firstLine="720" w:firstLineChars="200"/>
        <w:jc w:val="center"/>
        <w:rPr>
          <w:rFonts w:asciiTheme="minorHAnsi" w:hAnsiTheme="minorHAnsi" w:eastAsiaTheme="minorEastAsia" w:cstheme="minorBidi"/>
          <w:kern w:val="2"/>
          <w:sz w:val="21"/>
          <w:szCs w:val="24"/>
          <w:lang w:val="en-US" w:eastAsia="zh-CN" w:bidi="ar-SA"/>
        </w:rPr>
      </w:pPr>
      <w:r>
        <w:rPr>
          <w:rFonts w:hint="eastAsia" w:ascii="方正小标宋简体" w:hAnsi="方正小标宋简体" w:eastAsia="方正小标宋简体" w:cs="方正小标宋简体"/>
          <w:sz w:val="36"/>
          <w:szCs w:val="36"/>
        </w:rPr>
        <w:t>采购项目需求方案</w:t>
      </w:r>
    </w:p>
    <w:tbl>
      <w:tblPr>
        <w:tblStyle w:val="7"/>
        <w:tblW w:w="5000" w:type="pct"/>
        <w:tblInd w:w="0" w:type="dxa"/>
        <w:tblLayout w:type="autofit"/>
        <w:tblCellMar>
          <w:top w:w="0" w:type="dxa"/>
          <w:left w:w="108" w:type="dxa"/>
          <w:bottom w:w="0" w:type="dxa"/>
          <w:right w:w="108" w:type="dxa"/>
        </w:tblCellMar>
      </w:tblPr>
      <w:tblGrid>
        <w:gridCol w:w="972"/>
        <w:gridCol w:w="2544"/>
        <w:gridCol w:w="1766"/>
        <w:gridCol w:w="1689"/>
        <w:gridCol w:w="2429"/>
      </w:tblGrid>
      <w:tr>
        <w:tblPrEx>
          <w:tblCellMar>
            <w:top w:w="0" w:type="dxa"/>
            <w:left w:w="108" w:type="dxa"/>
            <w:bottom w:w="0" w:type="dxa"/>
            <w:right w:w="108" w:type="dxa"/>
          </w:tblCellMar>
        </w:tblPrEx>
        <w:trPr>
          <w:trHeight w:val="567"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福保街道2024年社区戒毒（康复）服务管理项目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val="en-US" w:eastAsia="zh-CN"/>
              </w:rPr>
              <w:t>510000</w:t>
            </w:r>
            <w:r>
              <w:rPr>
                <w:rFonts w:hint="eastAsia" w:ascii="仿宋_GB2312" w:hAnsi="仿宋_GB2312" w:eastAsia="仿宋_GB2312" w:cs="仿宋_GB2312"/>
                <w:kern w:val="0"/>
                <w:sz w:val="24"/>
              </w:rPr>
              <w:t>元</w:t>
            </w:r>
          </w:p>
        </w:tc>
      </w:tr>
      <w:tr>
        <w:tblPrEx>
          <w:tblCellMar>
            <w:top w:w="0" w:type="dxa"/>
            <w:left w:w="108" w:type="dxa"/>
            <w:bottom w:w="0" w:type="dxa"/>
            <w:right w:w="108" w:type="dxa"/>
          </w:tblCellMar>
        </w:tblPrEx>
        <w:trPr>
          <w:trHeight w:val="567"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综合治理办</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　</w:t>
            </w:r>
            <w:r>
              <w:rPr>
                <w:rFonts w:hint="eastAsia" w:ascii="仿宋_GB2312" w:hAnsi="仿宋_GB2312" w:eastAsia="仿宋_GB2312" w:cs="仿宋_GB2312"/>
                <w:kern w:val="0"/>
                <w:sz w:val="24"/>
                <w:lang w:eastAsia="zh-CN"/>
              </w:rPr>
              <w:t>李丁城</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lang w:eastAsia="zh-CN"/>
              </w:rPr>
              <w:t>☑</w:t>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为全民提升对戒毒康复人员的服务管理水平，切实减少毒品的危害，最大限度教育挽救吸毒人员，我街道在辖区开展社区戒毒社区康复工作，为进一步做好社区戒毒（康复）人员管理档案，实时记录报到、帮教、检测、变更、解除等执行情况以及培训、就业等帮扶工作，全面及时掌握社区戒毒社区康复人员和表现情况。</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项目技术要求：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提供3名禁毒社工服务，有社工证，做好社区戒毒（康复）人员管理档案，撰写相关文稿、实时记录报到、帮教、检测、变更、解除等执行情况以及培训、就业等帮扶工作，全面及时掌握社区戒毒社区康复人员和表现情况。</w:t>
            </w:r>
          </w:p>
        </w:tc>
      </w:tr>
      <w:tr>
        <w:tblPrEx>
          <w:tblCellMar>
            <w:top w:w="0" w:type="dxa"/>
            <w:left w:w="108" w:type="dxa"/>
            <w:bottom w:w="0" w:type="dxa"/>
            <w:right w:w="108" w:type="dxa"/>
          </w:tblCellMar>
        </w:tblPrEx>
        <w:trPr>
          <w:trHeight w:val="3070"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numPr>
                <w:ilvl w:val="0"/>
                <w:numId w:val="0"/>
              </w:numPr>
              <w:spacing w:line="56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r>
              <w:rPr>
                <w:rFonts w:hint="eastAsia" w:ascii="仿宋_GB2312" w:hAnsi="仿宋_GB2312" w:eastAsia="仿宋_GB2312" w:cs="仿宋_GB2312"/>
                <w:kern w:val="0"/>
                <w:sz w:val="24"/>
                <w:lang w:val="en-US" w:eastAsia="zh-CN"/>
              </w:rPr>
              <w:t>2024年1月1日--2024年12月31日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本项目合同方式为总价合同，结算时按月结算，中标单位每月10日前向采购人提供相应金额的正式税务发票，采购人每月25日前予以结算上个月服务费。因中标供应商延迟提供税务发票或因采购方经费审批流程原因造成延误的，采购方付款时间相应顺延。</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kern w:val="0"/>
                <w:sz w:val="24"/>
                <w:lang w:val="en-US" w:eastAsia="zh-CN"/>
              </w:rPr>
              <w:t>51万元以内</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4.违约责任</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5.其他</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w:t>
            </w:r>
            <w:bookmarkStart w:id="0" w:name="_GoBack"/>
            <w:bookmarkEnd w:id="0"/>
            <w:r>
              <w:rPr>
                <w:rFonts w:hint="default" w:ascii="仿宋_GB2312" w:hAnsi="仿宋_GB2312" w:eastAsia="仿宋_GB2312" w:cs="仿宋_GB2312"/>
                <w:kern w:val="0"/>
                <w:sz w:val="24"/>
                <w:lang w:val="en-US" w:eastAsia="zh-CN"/>
              </w:rPr>
              <w:t>营业执照、经营范围等相关资质复印件；</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2、投标报价单；</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3、对此项目的运营提供详细的服务方案；</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4、公司详细简介；</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5、项目相关案例、业绩等；</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6、近三年内无行贿犯罪记录、无重大违法经营记录的声明和不存在处于被禁止参与政府采购活动期限内情形的声明函（声明函格式自拟）；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default" w:ascii="仿宋_GB2312" w:hAnsi="仿宋_GB2312" w:eastAsia="仿宋_GB2312" w:cs="仿宋_GB2312"/>
                <w:kern w:val="0"/>
                <w:sz w:val="24"/>
                <w:lang w:val="en-US" w:eastAsia="zh-CN"/>
              </w:rPr>
              <w:t>7、可体现投标人综合实力及运营管理能力的其他资料。</w:t>
            </w:r>
          </w:p>
          <w:p>
            <w:pPr>
              <w:widowControl/>
              <w:spacing w:line="240" w:lineRule="auto"/>
              <w:ind w:firstLine="0" w:firstLineChars="0"/>
              <w:jc w:val="left"/>
              <w:rPr>
                <w:rFonts w:hint="eastAsia" w:ascii="仿宋_GB2312" w:hAnsi="仿宋_GB2312" w:eastAsia="仿宋_GB2312" w:cs="仿宋_GB2312"/>
                <w:kern w:val="0"/>
                <w:sz w:val="24"/>
              </w:rPr>
            </w:pPr>
            <w:r>
              <w:rPr>
                <w:rFonts w:hint="default" w:ascii="仿宋_GB2312" w:hAnsi="仿宋_GB2312" w:eastAsia="仿宋_GB2312" w:cs="仿宋_GB2312"/>
                <w:kern w:val="0"/>
                <w:sz w:val="24"/>
                <w:lang w:val="en-US" w:eastAsia="zh-CN"/>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ZTcxOGRmZTBkZDFlNDA3NmY3MjQxMDQwZjljYjQifQ=="/>
  </w:docVars>
  <w:rsids>
    <w:rsidRoot w:val="194B399D"/>
    <w:rsid w:val="014C5A9D"/>
    <w:rsid w:val="091C13C7"/>
    <w:rsid w:val="0A4669B5"/>
    <w:rsid w:val="11312983"/>
    <w:rsid w:val="14C24AD9"/>
    <w:rsid w:val="172C00A3"/>
    <w:rsid w:val="18B761FE"/>
    <w:rsid w:val="194B399D"/>
    <w:rsid w:val="1AF3636A"/>
    <w:rsid w:val="1CD203FA"/>
    <w:rsid w:val="1D1041D7"/>
    <w:rsid w:val="251026CF"/>
    <w:rsid w:val="2C7035F3"/>
    <w:rsid w:val="2E544988"/>
    <w:rsid w:val="2FBB6ACC"/>
    <w:rsid w:val="304A7E50"/>
    <w:rsid w:val="334D7C7F"/>
    <w:rsid w:val="340E45C5"/>
    <w:rsid w:val="3F1434CE"/>
    <w:rsid w:val="416451E2"/>
    <w:rsid w:val="447E6A90"/>
    <w:rsid w:val="4795557D"/>
    <w:rsid w:val="4E144BA8"/>
    <w:rsid w:val="4E1E0521"/>
    <w:rsid w:val="4F3F2E1E"/>
    <w:rsid w:val="50762693"/>
    <w:rsid w:val="587C663C"/>
    <w:rsid w:val="5A771A36"/>
    <w:rsid w:val="5C8F69B7"/>
    <w:rsid w:val="5EBA216A"/>
    <w:rsid w:val="66AD6A92"/>
    <w:rsid w:val="66C374B6"/>
    <w:rsid w:val="6A1555D3"/>
    <w:rsid w:val="6E587601"/>
    <w:rsid w:val="7E97605D"/>
    <w:rsid w:val="7F34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3">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2023-11-21T02:23:45Z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1EE277B577F4469B84B22A96E0F4B57B_13</vt:lpwstr>
  </property>
</Properties>
</file>