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val="0"/>
        <w:spacing w:line="500" w:lineRule="exact"/>
        <w:jc w:val="lef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附件</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textAlignment w:val="auto"/>
        <w:rPr>
          <w:rFonts w:hint="eastAsia"/>
          <w:lang w:eastAsia="zh-CN"/>
        </w:rPr>
      </w:pPr>
    </w:p>
    <w:p>
      <w:pPr>
        <w:keepNext w:val="0"/>
        <w:keepLines w:val="0"/>
        <w:pageBreakBefore w:val="0"/>
        <w:numPr>
          <w:ilvl w:val="0"/>
          <w:numId w:val="0"/>
        </w:numPr>
        <w:kinsoku/>
        <w:wordWrap/>
        <w:overflowPunct/>
        <w:topLinePunct w:val="0"/>
        <w:autoSpaceDE/>
        <w:autoSpaceDN/>
        <w:bidi w:val="0"/>
        <w:adjustRightInd/>
        <w:snapToGrid w:val="0"/>
        <w:spacing w:line="500" w:lineRule="exact"/>
        <w:jc w:val="center"/>
        <w:textAlignment w:val="auto"/>
        <w:rPr>
          <w:rFonts w:hint="eastAsia" w:ascii="方正小标宋简体" w:hAnsi="方正小标宋简体" w:eastAsia="方正小标宋简体" w:cs="方正小标宋简体"/>
          <w:color w:val="auto"/>
          <w:sz w:val="36"/>
          <w:szCs w:val="36"/>
          <w:u w:val="none"/>
          <w:lang w:eastAsia="zh-CN"/>
        </w:rPr>
      </w:pPr>
      <w:r>
        <w:rPr>
          <w:rFonts w:hint="eastAsia" w:ascii="方正小标宋简体" w:hAnsi="方正小标宋简体" w:eastAsia="方正小标宋简体" w:cs="方正小标宋简体"/>
          <w:color w:val="auto"/>
          <w:sz w:val="36"/>
          <w:szCs w:val="36"/>
          <w:u w:val="none"/>
          <w:lang w:eastAsia="zh-CN"/>
        </w:rPr>
        <w:t>大气污染应急减排重点区域动态降尘保湿</w:t>
      </w:r>
    </w:p>
    <w:p>
      <w:pPr>
        <w:keepNext w:val="0"/>
        <w:keepLines w:val="0"/>
        <w:pageBreakBefore w:val="0"/>
        <w:numPr>
          <w:ilvl w:val="0"/>
          <w:numId w:val="0"/>
        </w:numPr>
        <w:kinsoku/>
        <w:wordWrap/>
        <w:overflowPunct/>
        <w:topLinePunct w:val="0"/>
        <w:autoSpaceDE/>
        <w:autoSpaceDN/>
        <w:bidi w:val="0"/>
        <w:adjustRightInd/>
        <w:snapToGrid w:val="0"/>
        <w:spacing w:line="500" w:lineRule="exact"/>
        <w:jc w:val="center"/>
        <w:textAlignment w:val="auto"/>
        <w:rPr>
          <w:rFonts w:hint="eastAsia" w:ascii="方正小标宋_GBK" w:hAnsi="方正小标宋_GBK" w:eastAsia="方正小标宋_GBK" w:cs="方正小标宋_GBK"/>
          <w:b w:val="0"/>
          <w:bCs/>
          <w:color w:val="auto"/>
          <w:sz w:val="44"/>
          <w:szCs w:val="44"/>
          <w:lang w:eastAsia="zh-CN"/>
        </w:rPr>
      </w:pPr>
      <w:r>
        <w:rPr>
          <w:rFonts w:hint="eastAsia" w:ascii="方正小标宋简体" w:hAnsi="方正小标宋简体" w:eastAsia="方正小标宋简体" w:cs="方正小标宋简体"/>
          <w:color w:val="auto"/>
          <w:sz w:val="36"/>
          <w:szCs w:val="36"/>
          <w:u w:val="none"/>
          <w:lang w:eastAsia="zh-CN"/>
        </w:rPr>
        <w:t>服务</w:t>
      </w:r>
      <w:r>
        <w:rPr>
          <w:rFonts w:hint="eastAsia" w:ascii="方正小标宋_GBK" w:hAnsi="方正小标宋_GBK" w:eastAsia="方正小标宋_GBK" w:cs="方正小标宋_GBK"/>
          <w:b w:val="0"/>
          <w:bCs/>
          <w:color w:val="auto"/>
          <w:sz w:val="36"/>
          <w:szCs w:val="36"/>
          <w:lang w:eastAsia="zh-CN"/>
        </w:rPr>
        <w:t>采购需求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一、采购项目概况</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为持续改善大气环境质量，应对不利天气。</w:t>
      </w:r>
      <w:r>
        <w:rPr>
          <w:rFonts w:hint="eastAsia" w:ascii="仿宋_GB2312" w:hAnsi="仿宋_GB2312" w:eastAsia="仿宋_GB2312" w:cs="仿宋_GB2312"/>
          <w:sz w:val="28"/>
          <w:szCs w:val="28"/>
        </w:rPr>
        <w:t>拟</w:t>
      </w:r>
      <w:r>
        <w:rPr>
          <w:rFonts w:hint="eastAsia" w:ascii="仿宋_GB2312" w:eastAsia="仿宋_GB2312"/>
          <w:sz w:val="28"/>
          <w:szCs w:val="28"/>
          <w:lang w:val="en-US" w:eastAsia="zh-CN"/>
        </w:rPr>
        <w:t>聘请第三方开展</w:t>
      </w:r>
      <w:r>
        <w:rPr>
          <w:rFonts w:hint="eastAsia" w:ascii="仿宋_GB2312" w:hAnsi="仿宋_GB2312" w:eastAsia="仿宋_GB2312" w:cs="仿宋_GB2312"/>
          <w:color w:val="auto"/>
          <w:sz w:val="28"/>
          <w:szCs w:val="28"/>
          <w:u w:val="none"/>
          <w:lang w:eastAsia="zh-CN"/>
        </w:rPr>
        <w:t>大气污染应急减排重点区域动态降尘保湿服务</w:t>
      </w:r>
      <w:r>
        <w:rPr>
          <w:rFonts w:hint="eastAsia" w:ascii="仿宋_GB2312" w:hAnsi="仿宋_GB2312" w:eastAsia="仿宋_GB2312" w:cs="仿宋_GB2312"/>
          <w:sz w:val="28"/>
          <w:szCs w:val="28"/>
          <w:lang w:val="en-US" w:eastAsia="zh-CN"/>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二、项目管理和服务要求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b w:val="0"/>
          <w:bCs/>
          <w:color w:val="auto"/>
          <w:sz w:val="28"/>
          <w:szCs w:val="28"/>
        </w:rPr>
      </w:pPr>
      <w:r>
        <w:rPr>
          <w:rFonts w:hint="eastAsia" w:ascii="仿宋_GB2312" w:hAnsi="仿宋_GB2312" w:eastAsia="仿宋_GB2312" w:cs="仿宋_GB2312"/>
          <w:b w:val="0"/>
          <w:bCs/>
          <w:color w:val="auto"/>
          <w:sz w:val="28"/>
          <w:szCs w:val="28"/>
        </w:rPr>
        <w:t>包括但不限于：</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b w:val="0"/>
          <w:bCs/>
          <w:color w:val="auto"/>
          <w:sz w:val="28"/>
          <w:szCs w:val="28"/>
          <w:lang w:val="en-US" w:eastAsia="zh-CN"/>
        </w:rPr>
        <w:t>1.根据市生态局福田管理局启动大气污染防治应急减排的要求，立即开展</w:t>
      </w:r>
      <w:r>
        <w:rPr>
          <w:rFonts w:hint="eastAsia" w:ascii="仿宋_GB2312" w:hAnsi="仿宋_GB2312" w:eastAsia="仿宋_GB2312" w:cs="仿宋_GB2312"/>
          <w:color w:val="auto"/>
          <w:sz w:val="28"/>
          <w:szCs w:val="28"/>
          <w:u w:val="none"/>
          <w:lang w:eastAsia="zh-CN"/>
        </w:rPr>
        <w:t>大气污染应急减排重点区域动态降尘保湿服务。作业总天数约</w:t>
      </w:r>
      <w:r>
        <w:rPr>
          <w:rFonts w:hint="eastAsia" w:ascii="仿宋_GB2312" w:hAnsi="仿宋_GB2312" w:eastAsia="仿宋_GB2312" w:cs="仿宋_GB2312"/>
          <w:color w:val="auto"/>
          <w:sz w:val="28"/>
          <w:szCs w:val="28"/>
          <w:u w:val="none"/>
          <w:lang w:val="en-US" w:eastAsia="zh-CN"/>
        </w:rPr>
        <w:t>70天</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2.重点区域道路包括：彩田路—莲科三路—皇岗路—红荔路—彩田路；莲花二村相关小区道路。</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3.作业车辆服务时间及频次：作业时间为09:00-22:00，</w:t>
      </w:r>
      <w:bookmarkStart w:id="0" w:name="_GoBack"/>
      <w:bookmarkEnd w:id="0"/>
      <w:r>
        <w:rPr>
          <w:rFonts w:hint="eastAsia" w:ascii="仿宋_GB2312" w:hAnsi="仿宋_GB2312" w:eastAsia="仿宋_GB2312" w:cs="仿宋_GB2312"/>
          <w:color w:val="auto"/>
          <w:sz w:val="28"/>
          <w:szCs w:val="28"/>
          <w:u w:val="none"/>
          <w:lang w:val="en-US" w:eastAsia="zh-CN"/>
        </w:rPr>
        <w:t>作业频次重点区域道路及小区道路每30分钟全覆盖作业一次，车辆行进时速要求20公里以下。</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4.市政道路大洒水车或雾炮车2台及以上，小区道路洒水车1台及以上。</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color w:val="auto"/>
          <w:sz w:val="28"/>
          <w:szCs w:val="28"/>
          <w:u w:val="none"/>
          <w:lang w:val="en-US" w:eastAsia="zh-CN"/>
        </w:rPr>
        <w:t>5.司机3名及以上。</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黑体" w:hAnsi="黑体" w:eastAsia="黑体" w:cs="黑体"/>
          <w:b w:val="0"/>
          <w:bCs/>
          <w:color w:val="auto"/>
          <w:sz w:val="28"/>
          <w:szCs w:val="28"/>
          <w:u w:val="none"/>
        </w:rPr>
      </w:pPr>
      <w:r>
        <w:rPr>
          <w:rFonts w:hint="eastAsia" w:ascii="黑体" w:hAnsi="黑体" w:eastAsia="黑体" w:cs="黑体"/>
          <w:b w:val="0"/>
          <w:bCs/>
          <w:color w:val="auto"/>
          <w:sz w:val="28"/>
          <w:szCs w:val="28"/>
          <w:u w:val="none"/>
        </w:rPr>
        <w:t>三、商务需求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default" w:ascii="黑体" w:hAnsi="黑体" w:eastAsia="黑体" w:cs="黑体"/>
          <w:b w:val="0"/>
          <w:bCs/>
          <w:color w:val="auto"/>
          <w:sz w:val="28"/>
          <w:szCs w:val="28"/>
          <w:lang w:val="en-US"/>
        </w:rPr>
      </w:pPr>
      <w:r>
        <w:rPr>
          <w:rFonts w:hint="eastAsia" w:ascii="仿宋_GB2312" w:eastAsia="仿宋_GB2312"/>
          <w:b w:val="0"/>
          <w:bCs/>
          <w:color w:val="auto"/>
          <w:sz w:val="28"/>
          <w:szCs w:val="28"/>
          <w:lang w:eastAsia="zh-CN"/>
        </w:rPr>
        <w:t>（一）</w:t>
      </w:r>
      <w:r>
        <w:rPr>
          <w:rFonts w:hint="eastAsia" w:ascii="仿宋_GB2312" w:eastAsia="仿宋_GB2312"/>
          <w:b w:val="0"/>
          <w:bCs/>
          <w:color w:val="auto"/>
          <w:sz w:val="28"/>
          <w:szCs w:val="28"/>
        </w:rPr>
        <w:t>服务期：</w:t>
      </w:r>
      <w:r>
        <w:rPr>
          <w:rFonts w:hint="eastAsia" w:ascii="仿宋_GB2312" w:eastAsia="仿宋_GB2312"/>
          <w:b w:val="0"/>
          <w:bCs/>
          <w:color w:val="auto"/>
          <w:sz w:val="28"/>
          <w:szCs w:val="28"/>
          <w:lang w:val="en-US" w:eastAsia="zh-CN"/>
        </w:rPr>
        <w:t>约70天。</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（二）</w:t>
      </w:r>
      <w:r>
        <w:rPr>
          <w:rFonts w:hint="eastAsia" w:ascii="仿宋_GB2312" w:eastAsia="仿宋_GB2312"/>
          <w:b w:val="0"/>
          <w:bCs/>
          <w:color w:val="auto"/>
          <w:sz w:val="28"/>
          <w:szCs w:val="28"/>
        </w:rPr>
        <w:t>服务地点：在采购人指定地点。</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（三）</w:t>
      </w:r>
      <w:r>
        <w:rPr>
          <w:rFonts w:hint="eastAsia" w:ascii="仿宋_GB2312" w:eastAsia="仿宋_GB2312"/>
          <w:b w:val="0"/>
          <w:bCs/>
          <w:color w:val="auto"/>
          <w:sz w:val="28"/>
          <w:szCs w:val="28"/>
        </w:rPr>
        <w:t>报价要求：</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1.</w:t>
      </w:r>
      <w:r>
        <w:rPr>
          <w:rFonts w:hint="eastAsia" w:ascii="仿宋_GB2312" w:eastAsia="仿宋_GB2312"/>
          <w:b w:val="0"/>
          <w:bCs/>
          <w:color w:val="auto"/>
          <w:sz w:val="28"/>
          <w:szCs w:val="28"/>
        </w:rPr>
        <w:t>本项目服务费采用包干制，应包括服务成本、法定税费和企业的利润。由响应人根据采购文件所提供的资料自行测算投标报价；一经中选，报价总价作为</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与采购人签定的合同金额，合同期限内不做调整；</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2.</w:t>
      </w:r>
      <w:r>
        <w:rPr>
          <w:rFonts w:hint="eastAsia" w:ascii="仿宋_GB2312" w:eastAsia="仿宋_GB2312"/>
          <w:b w:val="0"/>
          <w:bCs/>
          <w:color w:val="auto"/>
          <w:sz w:val="28"/>
          <w:szCs w:val="28"/>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3.</w:t>
      </w:r>
      <w:r>
        <w:rPr>
          <w:rFonts w:hint="eastAsia" w:ascii="仿宋_GB2312" w:eastAsia="仿宋_GB2312"/>
          <w:b w:val="0"/>
          <w:bCs/>
          <w:color w:val="auto"/>
          <w:sz w:val="28"/>
          <w:szCs w:val="28"/>
        </w:rPr>
        <w:t>响应人的报价不得超过</w:t>
      </w:r>
      <w:r>
        <w:rPr>
          <w:rFonts w:hint="eastAsia" w:ascii="仿宋_GB2312" w:eastAsia="仿宋_GB2312"/>
          <w:b w:val="0"/>
          <w:bCs/>
          <w:color w:val="auto"/>
          <w:sz w:val="28"/>
          <w:szCs w:val="28"/>
          <w:lang w:eastAsia="zh-CN"/>
        </w:rPr>
        <w:t>项目</w:t>
      </w:r>
      <w:r>
        <w:rPr>
          <w:rFonts w:hint="eastAsia" w:ascii="仿宋_GB2312" w:eastAsia="仿宋_GB2312"/>
          <w:b w:val="0"/>
          <w:bCs/>
          <w:color w:val="auto"/>
          <w:sz w:val="28"/>
          <w:szCs w:val="28"/>
        </w:rPr>
        <w:t>预算</w:t>
      </w:r>
      <w:r>
        <w:rPr>
          <w:rFonts w:hint="eastAsia" w:ascii="仿宋_GB2312" w:eastAsia="仿宋_GB2312"/>
          <w:b w:val="0"/>
          <w:bCs/>
          <w:color w:val="auto"/>
          <w:sz w:val="28"/>
          <w:szCs w:val="28"/>
          <w:lang w:eastAsia="zh-CN"/>
        </w:rPr>
        <w:t>金额</w:t>
      </w:r>
      <w:r>
        <w:rPr>
          <w:rFonts w:hint="eastAsia" w:ascii="仿宋_GB2312" w:eastAsia="仿宋_GB2312"/>
          <w:b w:val="0"/>
          <w:bCs/>
          <w:color w:val="auto"/>
          <w:sz w:val="28"/>
          <w:szCs w:val="28"/>
        </w:rPr>
        <w:t>；</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4.</w:t>
      </w:r>
      <w:r>
        <w:rPr>
          <w:rFonts w:hint="eastAsia" w:ascii="仿宋_GB2312" w:eastAsia="仿宋_GB2312"/>
          <w:b w:val="0"/>
          <w:bCs/>
          <w:color w:val="auto"/>
          <w:sz w:val="28"/>
          <w:szCs w:val="28"/>
        </w:rPr>
        <w:t>响应人的报价，应是本项目采购范围和采购文件及合同条款上所列的各项内容中所述的全部，不得以任何理由予以重复，并以响应人最终提出的综合单价或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总价为依据；</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5.</w:t>
      </w:r>
      <w:r>
        <w:rPr>
          <w:rFonts w:hint="eastAsia" w:ascii="仿宋_GB2312" w:eastAsia="仿宋_GB2312"/>
          <w:b w:val="0"/>
          <w:bCs/>
          <w:color w:val="auto"/>
          <w:sz w:val="28"/>
          <w:szCs w:val="28"/>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val="en-US" w:eastAsia="zh-CN"/>
        </w:rPr>
        <w:t>6.</w:t>
      </w:r>
      <w:r>
        <w:rPr>
          <w:rFonts w:hint="eastAsia" w:ascii="仿宋_GB2312" w:eastAsia="仿宋_GB2312"/>
          <w:b w:val="0"/>
          <w:bCs/>
          <w:color w:val="auto"/>
          <w:sz w:val="28"/>
          <w:szCs w:val="28"/>
        </w:rPr>
        <w:t>响应人应先到项目地点踏勘以充分了解项目的位置、情况、道路及任何其它足以影响投标报价的情况，任何因忽视或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误解项目情况而导致的索赔或</w:t>
      </w:r>
      <w:r>
        <w:rPr>
          <w:rFonts w:hint="eastAsia" w:ascii="仿宋_GB2312" w:eastAsia="仿宋_GB2312"/>
          <w:b w:val="0"/>
          <w:bCs/>
          <w:color w:val="auto"/>
          <w:sz w:val="28"/>
          <w:szCs w:val="28"/>
          <w:lang w:eastAsia="zh-CN"/>
        </w:rPr>
        <w:t>者</w:t>
      </w:r>
      <w:r>
        <w:rPr>
          <w:rFonts w:hint="eastAsia" w:ascii="仿宋_GB2312" w:eastAsia="仿宋_GB2312"/>
          <w:b w:val="0"/>
          <w:bCs/>
          <w:color w:val="auto"/>
          <w:sz w:val="28"/>
          <w:szCs w:val="28"/>
        </w:rPr>
        <w:t>服务期限延长申请将不获批准；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val="en-US" w:eastAsia="zh-CN"/>
        </w:rPr>
        <w:t>7.</w:t>
      </w:r>
      <w:r>
        <w:rPr>
          <w:rFonts w:hint="eastAsia" w:ascii="仿宋_GB2312" w:eastAsia="仿宋_GB2312"/>
          <w:b w:val="0"/>
          <w:bCs/>
          <w:color w:val="auto"/>
          <w:sz w:val="28"/>
          <w:szCs w:val="28"/>
        </w:rPr>
        <w:t>响应人不得期望通过索赔等方式获取</w:t>
      </w:r>
      <w:r>
        <w:rPr>
          <w:rFonts w:hint="eastAsia" w:ascii="仿宋_GB2312" w:eastAsia="仿宋_GB2312"/>
          <w:b w:val="0"/>
          <w:bCs/>
          <w:color w:val="auto"/>
          <w:sz w:val="28"/>
          <w:szCs w:val="28"/>
          <w:lang w:eastAsia="zh-CN"/>
        </w:rPr>
        <w:t>报价</w:t>
      </w:r>
      <w:r>
        <w:rPr>
          <w:rFonts w:hint="eastAsia" w:ascii="仿宋_GB2312" w:eastAsia="仿宋_GB2312"/>
          <w:b w:val="0"/>
          <w:bCs/>
          <w:color w:val="auto"/>
          <w:sz w:val="28"/>
          <w:szCs w:val="28"/>
        </w:rPr>
        <w:t>补偿，否则，除可能遭到拒绝外，还可能将被作为不良行为记录在案，并可能影响其以后参加政府采购的项目投标。各响应人在报价时，应充分考虑报价的风险</w:t>
      </w:r>
      <w:r>
        <w:rPr>
          <w:rFonts w:hint="eastAsia" w:ascii="仿宋_GB2312" w:eastAsia="仿宋_GB2312"/>
          <w:b w:val="0"/>
          <w:bCs/>
          <w:color w:val="auto"/>
          <w:sz w:val="28"/>
          <w:szCs w:val="28"/>
          <w:lang w:eastAsia="zh-CN"/>
        </w:rPr>
        <w:t>；</w:t>
      </w:r>
    </w:p>
    <w:p>
      <w:pPr>
        <w:pStyle w:val="3"/>
        <w:keepNext w:val="0"/>
        <w:keepLines w:val="0"/>
        <w:pageBreakBefore w:val="0"/>
        <w:kinsoku/>
        <w:wordWrap/>
        <w:overflowPunct/>
        <w:topLinePunct w:val="0"/>
        <w:autoSpaceDE/>
        <w:autoSpaceDN/>
        <w:bidi w:val="0"/>
        <w:adjustRightInd/>
        <w:spacing w:before="0" w:beforeAutospacing="0" w:after="0" w:afterAutospacing="0" w:line="500" w:lineRule="exact"/>
        <w:ind w:firstLine="560" w:firstLineChars="200"/>
        <w:jc w:val="both"/>
        <w:textAlignment w:val="auto"/>
        <w:rPr>
          <w:rFonts w:hint="eastAsia"/>
          <w:sz w:val="28"/>
          <w:szCs w:val="28"/>
          <w:lang w:eastAsia="zh-CN"/>
        </w:rPr>
      </w:pPr>
      <w:r>
        <w:rPr>
          <w:rFonts w:hint="eastAsia" w:ascii="仿宋_GB2312" w:hAnsi="仿宋_GB2312" w:eastAsia="仿宋_GB2312" w:cs="仿宋_GB2312"/>
          <w:b w:val="0"/>
          <w:bCs w:val="0"/>
          <w:color w:val="000000"/>
          <w:kern w:val="2"/>
          <w:sz w:val="28"/>
          <w:szCs w:val="28"/>
          <w:lang w:val="en-US" w:eastAsia="zh-CN" w:bidi="ar"/>
        </w:rPr>
        <w:t>8.合同签订价格以我单位聘请的会计师事务所审核价格为准。</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lang w:eastAsia="zh-CN"/>
        </w:rPr>
      </w:pPr>
      <w:r>
        <w:rPr>
          <w:rFonts w:hint="eastAsia" w:ascii="仿宋_GB2312" w:eastAsia="仿宋_GB2312"/>
          <w:b w:val="0"/>
          <w:bCs/>
          <w:color w:val="auto"/>
          <w:sz w:val="28"/>
          <w:szCs w:val="28"/>
          <w:lang w:eastAsia="zh-CN"/>
        </w:rPr>
        <w:t>（四）</w:t>
      </w:r>
      <w:r>
        <w:rPr>
          <w:rFonts w:hint="eastAsia" w:ascii="仿宋_GB2312" w:eastAsia="仿宋_GB2312"/>
          <w:b w:val="0"/>
          <w:bCs/>
          <w:color w:val="auto"/>
          <w:sz w:val="28"/>
          <w:szCs w:val="28"/>
        </w:rPr>
        <w:t>付款方式：</w:t>
      </w:r>
      <w:r>
        <w:rPr>
          <w:rFonts w:hint="eastAsia" w:ascii="仿宋_GB2312" w:eastAsia="仿宋_GB2312"/>
          <w:b w:val="0"/>
          <w:bCs/>
          <w:color w:val="auto"/>
          <w:sz w:val="28"/>
          <w:szCs w:val="28"/>
          <w:lang w:eastAsia="zh-CN"/>
        </w:rPr>
        <w:t>按照完成服务工作进度和工作量分期付款。</w:t>
      </w:r>
    </w:p>
    <w:p>
      <w:pPr>
        <w:keepNext w:val="0"/>
        <w:keepLines w:val="0"/>
        <w:pageBreakBefore w:val="0"/>
        <w:numPr>
          <w:ilvl w:val="0"/>
          <w:numId w:val="0"/>
        </w:numPr>
        <w:kinsoku/>
        <w:wordWrap/>
        <w:overflowPunct/>
        <w:topLinePunct w:val="0"/>
        <w:autoSpaceDE/>
        <w:autoSpaceDN/>
        <w:bidi w:val="0"/>
        <w:adjustRightInd/>
        <w:snapToGrid w:val="0"/>
        <w:spacing w:line="500" w:lineRule="exact"/>
        <w:ind w:firstLine="560" w:firstLineChars="200"/>
        <w:textAlignment w:val="auto"/>
        <w:rPr>
          <w:rFonts w:hint="eastAsia" w:ascii="仿宋_GB2312" w:eastAsia="仿宋_GB2312"/>
          <w:b w:val="0"/>
          <w:bCs/>
          <w:color w:val="auto"/>
          <w:sz w:val="28"/>
          <w:szCs w:val="28"/>
        </w:rPr>
      </w:pPr>
      <w:r>
        <w:rPr>
          <w:rFonts w:hint="eastAsia" w:ascii="仿宋_GB2312" w:eastAsia="仿宋_GB2312"/>
          <w:b w:val="0"/>
          <w:bCs/>
          <w:color w:val="auto"/>
          <w:sz w:val="28"/>
          <w:szCs w:val="28"/>
          <w:lang w:eastAsia="zh-CN"/>
        </w:rPr>
        <w:t>（五）验收</w:t>
      </w:r>
      <w:r>
        <w:rPr>
          <w:rFonts w:hint="eastAsia" w:ascii="仿宋_GB2312" w:eastAsia="仿宋_GB2312"/>
          <w:b w:val="0"/>
          <w:bCs/>
          <w:color w:val="auto"/>
          <w:sz w:val="28"/>
          <w:szCs w:val="28"/>
        </w:rPr>
        <w:t>：</w:t>
      </w:r>
      <w:r>
        <w:rPr>
          <w:rFonts w:hint="eastAsia" w:ascii="仿宋_GB2312" w:eastAsia="仿宋_GB2312"/>
          <w:b w:val="0"/>
          <w:bCs/>
          <w:color w:val="auto"/>
          <w:sz w:val="28"/>
          <w:szCs w:val="28"/>
          <w:lang w:eastAsia="zh-CN"/>
        </w:rPr>
        <w:t>采购人</w:t>
      </w:r>
      <w:r>
        <w:rPr>
          <w:rFonts w:hint="eastAsia" w:ascii="仿宋_GB2312" w:eastAsia="仿宋_GB2312"/>
          <w:b w:val="0"/>
          <w:bCs/>
          <w:color w:val="auto"/>
          <w:sz w:val="28"/>
          <w:szCs w:val="28"/>
        </w:rPr>
        <w:t>在项目服务期到期后，将按照合同约定的服务内容对</w:t>
      </w:r>
      <w:r>
        <w:rPr>
          <w:rFonts w:hint="eastAsia" w:ascii="仿宋_GB2312" w:eastAsia="仿宋_GB2312"/>
          <w:b w:val="0"/>
          <w:bCs/>
          <w:color w:val="auto"/>
          <w:sz w:val="28"/>
          <w:szCs w:val="28"/>
          <w:lang w:eastAsia="zh-CN"/>
        </w:rPr>
        <w:t>供应商</w:t>
      </w:r>
      <w:r>
        <w:rPr>
          <w:rFonts w:hint="eastAsia" w:ascii="仿宋_GB2312" w:eastAsia="仿宋_GB2312"/>
          <w:b w:val="0"/>
          <w:bCs/>
          <w:color w:val="auto"/>
          <w:sz w:val="28"/>
          <w:szCs w:val="28"/>
        </w:rPr>
        <w:t>的服务进行逐项验收。项目验收后，双方共同签署验收报告，验收报告内容包括每一项技术、服务、安全标准的验收情况及项目总体评价，验收报告将作为服务费尾款支付的重要依据。</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四、响应人要求及所需材料证明</w:t>
      </w:r>
    </w:p>
    <w:p>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firstLine="560" w:firstLineChars="200"/>
        <w:textAlignment w:val="auto"/>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（一）</w:t>
      </w:r>
      <w:r>
        <w:rPr>
          <w:rFonts w:hint="eastAsia" w:ascii="仿宋_GB2312" w:eastAsia="仿宋_GB2312"/>
          <w:b w:val="0"/>
          <w:bCs/>
          <w:color w:val="auto"/>
          <w:sz w:val="28"/>
          <w:szCs w:val="28"/>
          <w:lang w:eastAsia="zh-CN"/>
        </w:rPr>
        <w:t>响应人应具备相应的资质。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right="0" w:firstLine="560" w:firstLineChars="200"/>
        <w:jc w:val="both"/>
        <w:textAlignment w:val="auto"/>
        <w:rPr>
          <w:rFonts w:hint="eastAsia" w:ascii="仿宋_GB2312" w:hAnsi="仿宋_GB2312" w:eastAsia="仿宋_GB2312" w:cs="仿宋_GB2312"/>
          <w:color w:val="auto"/>
          <w:kern w:val="2"/>
          <w:sz w:val="28"/>
          <w:szCs w:val="28"/>
          <w:lang w:val="en-US" w:eastAsia="zh-CN" w:bidi="ar"/>
        </w:rPr>
      </w:pPr>
      <w:r>
        <w:rPr>
          <w:rFonts w:hint="eastAsia" w:ascii="仿宋_GB2312" w:hAnsi="仿宋_GB2312" w:eastAsia="仿宋_GB2312" w:cs="仿宋_GB2312"/>
          <w:color w:val="auto"/>
          <w:kern w:val="2"/>
          <w:sz w:val="28"/>
          <w:szCs w:val="28"/>
          <w:lang w:val="en-US" w:eastAsia="zh-CN" w:bidi="ar"/>
        </w:rPr>
        <w:t>（二）响应文件</w:t>
      </w:r>
      <w:r>
        <w:rPr>
          <w:rFonts w:hint="default" w:ascii="仿宋_GB2312" w:hAnsi="仿宋_GB2312" w:eastAsia="仿宋_GB2312" w:cs="仿宋_GB2312"/>
          <w:color w:val="auto"/>
          <w:kern w:val="2"/>
          <w:sz w:val="28"/>
          <w:szCs w:val="28"/>
          <w:lang w:val="en-US" w:eastAsia="zh-CN" w:bidi="ar"/>
        </w:rPr>
        <w:t>包括</w:t>
      </w:r>
      <w:r>
        <w:rPr>
          <w:rFonts w:hint="eastAsia" w:ascii="仿宋_GB2312" w:hAnsi="仿宋_GB2312" w:eastAsia="仿宋_GB2312" w:cs="仿宋_GB2312"/>
          <w:color w:val="auto"/>
          <w:kern w:val="2"/>
          <w:sz w:val="28"/>
          <w:szCs w:val="28"/>
          <w:lang w:val="en-US" w:eastAsia="zh-CN" w:bidi="ar"/>
        </w:rPr>
        <w:t>：</w:t>
      </w:r>
      <w:r>
        <w:rPr>
          <w:rFonts w:hint="default" w:ascii="仿宋_GB2312" w:hAnsi="仿宋_GB2312" w:eastAsia="仿宋_GB2312" w:cs="仿宋_GB2312"/>
          <w:color w:val="auto"/>
          <w:kern w:val="2"/>
          <w:sz w:val="28"/>
          <w:szCs w:val="28"/>
          <w:lang w:val="en-US" w:eastAsia="zh-CN" w:bidi="ar"/>
        </w:rPr>
        <w:t>营业</w:t>
      </w:r>
      <w:r>
        <w:rPr>
          <w:rFonts w:hint="eastAsia" w:ascii="仿宋_GB2312" w:hAnsi="仿宋_GB2312" w:eastAsia="仿宋_GB2312" w:cs="仿宋_GB2312"/>
          <w:color w:val="auto"/>
          <w:kern w:val="2"/>
          <w:sz w:val="28"/>
          <w:szCs w:val="28"/>
          <w:lang w:val="en-US" w:eastAsia="zh-CN" w:bidi="ar"/>
        </w:rPr>
        <w:t>执照</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法定代表人身份证、经办人身份证、法定代表人证明书及</w:t>
      </w:r>
      <w:r>
        <w:rPr>
          <w:rFonts w:hint="default" w:ascii="仿宋_GB2312" w:hAnsi="仿宋_GB2312" w:eastAsia="仿宋_GB2312" w:cs="仿宋_GB2312"/>
          <w:color w:val="auto"/>
          <w:kern w:val="2"/>
          <w:sz w:val="28"/>
          <w:szCs w:val="28"/>
          <w:lang w:val="en-US" w:eastAsia="zh-CN" w:bidi="ar"/>
        </w:rPr>
        <w:t>授权</w:t>
      </w:r>
      <w:r>
        <w:rPr>
          <w:rFonts w:hint="eastAsia" w:ascii="仿宋_GB2312" w:hAnsi="仿宋_GB2312" w:eastAsia="仿宋_GB2312" w:cs="仿宋_GB2312"/>
          <w:color w:val="auto"/>
          <w:kern w:val="2"/>
          <w:sz w:val="28"/>
          <w:szCs w:val="28"/>
          <w:lang w:val="en-US" w:eastAsia="zh-CN" w:bidi="ar"/>
        </w:rPr>
        <w:t>委托书</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公司</w:t>
      </w:r>
      <w:r>
        <w:rPr>
          <w:rFonts w:hint="default" w:ascii="仿宋_GB2312" w:hAnsi="仿宋_GB2312" w:eastAsia="仿宋_GB2312" w:cs="仿宋_GB2312"/>
          <w:color w:val="auto"/>
          <w:kern w:val="2"/>
          <w:sz w:val="28"/>
          <w:szCs w:val="28"/>
          <w:lang w:val="en-US" w:eastAsia="zh-CN" w:bidi="ar"/>
        </w:rPr>
        <w:t>股权结构、经营范围、公司资质</w:t>
      </w:r>
      <w:r>
        <w:rPr>
          <w:rFonts w:hint="eastAsia" w:ascii="仿宋_GB2312" w:hAnsi="仿宋_GB2312" w:eastAsia="仿宋_GB2312" w:cs="仿宋_GB2312"/>
          <w:color w:val="auto"/>
          <w:kern w:val="2"/>
          <w:sz w:val="28"/>
          <w:szCs w:val="28"/>
          <w:lang w:val="en-US" w:eastAsia="zh-CN" w:bidi="ar"/>
        </w:rPr>
        <w:t>证明</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报价单</w:t>
      </w:r>
      <w:r>
        <w:rPr>
          <w:rFonts w:hint="default" w:ascii="仿宋_GB2312" w:hAnsi="仿宋_GB2312" w:eastAsia="仿宋_GB2312" w:cs="仿宋_GB2312"/>
          <w:color w:val="auto"/>
          <w:kern w:val="2"/>
          <w:sz w:val="28"/>
          <w:szCs w:val="28"/>
          <w:lang w:val="en-US" w:eastAsia="zh-CN" w:bidi="ar"/>
        </w:rPr>
        <w:t>、</w:t>
      </w:r>
      <w:r>
        <w:rPr>
          <w:rFonts w:hint="eastAsia" w:ascii="仿宋_GB2312" w:hAnsi="仿宋_GB2312" w:eastAsia="仿宋_GB2312" w:cs="仿宋_GB2312"/>
          <w:color w:val="auto"/>
          <w:kern w:val="2"/>
          <w:sz w:val="28"/>
          <w:szCs w:val="28"/>
          <w:lang w:val="en-US" w:eastAsia="zh-CN" w:bidi="ar"/>
        </w:rPr>
        <w:t>项目实施方案、类似项目业绩、投标人无重大违法记录声明函、履约承诺书等。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color w:val="FF0000"/>
          <w:sz w:val="28"/>
          <w:szCs w:val="28"/>
        </w:rPr>
      </w:pPr>
      <w:r>
        <w:rPr>
          <w:rFonts w:hint="eastAsia" w:ascii="仿宋_GB2312" w:hAnsi="仿宋_GB2312" w:eastAsia="仿宋_GB2312" w:cs="仿宋_GB2312"/>
          <w:color w:val="auto"/>
          <w:kern w:val="2"/>
          <w:sz w:val="28"/>
          <w:szCs w:val="28"/>
          <w:lang w:val="en-US" w:eastAsia="zh-CN" w:bidi="ar"/>
        </w:rPr>
        <w:t>（三）上述文件应提供加盖公章的扫描件并密封，响应文件封面应注明公司名称、项目联系人及联系方式。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7F3A7B"/>
    <w:rsid w:val="46BDAD89"/>
    <w:rsid w:val="4ABF9ED1"/>
    <w:rsid w:val="5D54B6F2"/>
    <w:rsid w:val="5F53A982"/>
    <w:rsid w:val="5FF0CF4D"/>
    <w:rsid w:val="67DE8405"/>
    <w:rsid w:val="6F3DE3B6"/>
    <w:rsid w:val="76F5CD69"/>
    <w:rsid w:val="76FF2B44"/>
    <w:rsid w:val="776FC6CF"/>
    <w:rsid w:val="7B67D4DE"/>
    <w:rsid w:val="7BB6D01D"/>
    <w:rsid w:val="7BF7AB66"/>
    <w:rsid w:val="7FA6DCFA"/>
    <w:rsid w:val="BF522649"/>
    <w:rsid w:val="E17F9DD4"/>
    <w:rsid w:val="FCEFB5B7"/>
    <w:rsid w:val="FE7F3A7B"/>
    <w:rsid w:val="FF7F6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qFormat/>
    <w:uiPriority w:val="0"/>
    <w:pPr>
      <w:spacing w:line="560" w:lineRule="exact"/>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2022-08-20T10:54:00Z</dcterms:created>
  <dc:creator>fthw0155</dc:creator>
  <cp:lastModifiedBy>zhanggaofeng</cp:lastModifiedBy>
  <cp:lastPrinted>2022-08-19T15:17:00Z</cp:lastPrinted>
  <dcterms:modified xsi:type="dcterms:W3CDTF">2023-05-06T09:17:00Z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711DDAAAC5D8BFA7D7994B640549C912</vt:lpwstr>
  </property>
</Properties>
</file>