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中国共产主义青年团深圳市福田区委员会</w:t>
      </w:r>
    </w:p>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ascii="黑体" w:hAnsi="黑体" w:eastAsia="黑体" w:cs="黑体"/>
          <w:color w:val="000000"/>
          <w:sz w:val="28"/>
          <w:szCs w:val="28"/>
        </w:rPr>
      </w:pPr>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3</w:t>
      </w:r>
      <w:r>
        <w:rPr>
          <w:rFonts w:hint="eastAsia" w:ascii="黑体" w:hAnsi="黑体" w:eastAsia="黑体" w:cs="黑体"/>
          <w:color w:val="000000"/>
          <w:sz w:val="28"/>
          <w:szCs w:val="28"/>
        </w:rPr>
        <w:t>年“三公”经费财政拨款预算情况</w:t>
      </w:r>
    </w:p>
    <w:p>
      <w:pPr>
        <w:shd w:val="solid" w:color="FFFFFF" w:fill="auto"/>
        <w:overflowPunct w:val="0"/>
        <w:autoSpaceDN w:val="0"/>
        <w:spacing w:line="420" w:lineRule="exact"/>
        <w:ind w:firstLine="422" w:firstLineChars="200"/>
        <w:jc w:val="left"/>
        <w:rPr>
          <w:rFonts w:ascii="Times New Roman" w:hAnsi="Times New Roman" w:eastAsia="宋体" w:cs="Times New Roman"/>
          <w:b/>
          <w:bCs/>
          <w:color w:val="000000"/>
          <w:kern w:val="2"/>
          <w:sz w:val="21"/>
          <w:szCs w:val="20"/>
        </w:rPr>
      </w:pPr>
    </w:p>
    <w:p>
      <w:pPr>
        <w:widowControl w:val="0"/>
        <w:numPr>
          <w:ilvl w:val="0"/>
          <w:numId w:val="1"/>
        </w:numPr>
        <w:shd w:val="clear" w:color="auto" w:fill="auto"/>
        <w:tabs>
          <w:tab w:val="left" w:pos="960"/>
        </w:tabs>
        <w:spacing w:line="420" w:lineRule="exact"/>
        <w:ind w:firstLine="422" w:firstLineChars="200"/>
        <w:jc w:val="both"/>
        <w:rPr>
          <w:rFonts w:hint="eastAsia" w:ascii="宋体" w:hAnsi="宋体" w:eastAsia="宋体" w:cs="宋体"/>
          <w:kern w:val="2"/>
          <w:sz w:val="21"/>
          <w:szCs w:val="21"/>
          <w:lang w:val="en-US" w:eastAsia="zh-CN" w:bidi="ar-SA"/>
        </w:rPr>
      </w:pPr>
      <w:r>
        <w:rPr>
          <w:rFonts w:ascii="Times New Roman" w:hAnsi="Times New Roman" w:eastAsia="宋体" w:cs="Times New Roman"/>
          <w:b/>
          <w:bCs/>
          <w:color w:val="000000"/>
          <w:kern w:val="2"/>
          <w:sz w:val="21"/>
          <w:szCs w:val="20"/>
        </w:rPr>
        <w:t>“三公”经费的单位范围</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中国共产主义青年团深圳市福田区委员会因公出国（境）费用、公务接待费、公务用车 购置和运行维护费开支单位包括</w:t>
      </w:r>
      <w:r>
        <w:rPr>
          <w:rFonts w:ascii="Times New Roman" w:hAnsi="Times New Roman" w:eastAsia="宋体" w:cs="Times New Roman"/>
          <w:color w:val="000000"/>
          <w:kern w:val="2"/>
          <w:sz w:val="21"/>
          <w:szCs w:val="21"/>
        </w:rPr>
        <w:t>本级和</w:t>
      </w:r>
      <w:r>
        <w:rPr>
          <w:rFonts w:hint="eastAsia" w:cs="Times New Roman"/>
          <w:color w:val="000000"/>
          <w:kern w:val="2"/>
          <w:sz w:val="21"/>
          <w:szCs w:val="21"/>
          <w:lang w:val="en-US" w:eastAsia="zh-CN"/>
        </w:rPr>
        <w:t>1</w:t>
      </w:r>
      <w:r>
        <w:rPr>
          <w:rFonts w:ascii="Times New Roman" w:hAnsi="Times New Roman" w:eastAsia="宋体" w:cs="Times New Roman"/>
          <w:color w:val="000000"/>
          <w:kern w:val="2"/>
          <w:sz w:val="21"/>
          <w:szCs w:val="21"/>
        </w:rPr>
        <w:t>个下属事业单位</w:t>
      </w:r>
      <w:r>
        <w:rPr>
          <w:rFonts w:ascii="Times New Roman" w:hAnsi="Times New Roman" w:eastAsia="宋体" w:cs="Times New Roman"/>
          <w:color w:val="000000"/>
          <w:kern w:val="2"/>
          <w:sz w:val="21"/>
          <w:szCs w:val="20"/>
        </w:rPr>
        <w:t>。</w:t>
      </w:r>
    </w:p>
    <w:p>
      <w:pPr>
        <w:widowControl w:val="0"/>
        <w:numPr>
          <w:ilvl w:val="0"/>
          <w:numId w:val="1"/>
        </w:numPr>
        <w:shd w:val="clear" w:color="auto" w:fill="auto"/>
        <w:tabs>
          <w:tab w:val="left" w:pos="960"/>
        </w:tabs>
        <w:spacing w:line="420" w:lineRule="exact"/>
        <w:ind w:left="0" w:leftChars="0" w:firstLine="422" w:firstLineChars="200"/>
        <w:jc w:val="both"/>
        <w:rPr>
          <w:rFonts w:ascii="Times New Roman" w:hAnsi="Times New Roman" w:eastAsia="宋体" w:cs="Times New Roman"/>
          <w:color w:val="000000"/>
          <w:kern w:val="2"/>
          <w:sz w:val="21"/>
          <w:szCs w:val="20"/>
        </w:rPr>
      </w:pPr>
      <w:r>
        <w:rPr>
          <w:rFonts w:ascii="Times New Roman" w:hAnsi="Times New Roman" w:eastAsia="宋体" w:cs="Times New Roman"/>
          <w:b/>
          <w:bCs/>
          <w:color w:val="000000"/>
          <w:kern w:val="2"/>
          <w:sz w:val="21"/>
          <w:szCs w:val="20"/>
        </w:rPr>
        <w:t>“三公”经费预算情况说明</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hint="eastAsia" w:ascii="宋体" w:hAnsi="宋体" w:eastAsia="宋体" w:cs="宋体"/>
          <w:color w:val="000000"/>
          <w:szCs w:val="21"/>
        </w:rPr>
        <w:t>2023年“三公”经费预算3.47万元，比2022年预算减少0.96万元。</w:t>
      </w:r>
    </w:p>
    <w:p>
      <w:pPr>
        <w:shd w:val="clear" w:color="auto" w:fill="FFFFFF"/>
        <w:spacing w:line="4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因公出国（境）费用。2023年预算数0万元。为进一步规范因公出国（境）经费管理，我区因公出国（境）经费完全按零基预算的原则根据区因公出国计划预审会议审定计划动态调配使用，因此2023年因公出国（境）经费预算数为0万元，在实际执行中根据计划据实调配。</w:t>
      </w:r>
    </w:p>
    <w:p>
      <w:pPr>
        <w:shd w:val="clear" w:color="auto" w:fill="FFFFFF"/>
        <w:spacing w:line="4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⒉公务接待费。2023年预算数0万元，比2022年减少0.76万元，主要是：因疫情原因，取消公务接待费。</w:t>
      </w:r>
    </w:p>
    <w:p>
      <w:pPr>
        <w:shd w:val="clear" w:color="auto" w:fill="FFFFFF"/>
        <w:spacing w:line="4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⒊公务用车购置和运行维护费。2023年预算数3.47万元，其中：</w:t>
      </w:r>
    </w:p>
    <w:p>
      <w:pPr>
        <w:shd w:val="clear" w:color="auto" w:fill="FFFFFF"/>
        <w:spacing w:line="4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公务用车购置费2023年预算数0万元，比2022年预算数增加0万元，主要是：我委已有1辆公务用车，未有计划购置新车。</w:t>
      </w:r>
    </w:p>
    <w:p>
      <w:pPr>
        <w:spacing w:line="4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公务用车运行维护费2023年预算数3.47万元，比2022年预算数减少0.2万元，主要是：实有车辆1辆，为定编车辆，主要用于公务接待，团务活动等业务活动开支的公务用车运行支出。</w:t>
      </w:r>
    </w:p>
    <w:p>
      <w:pPr>
        <w:widowControl w:val="0"/>
        <w:shd w:val="clear" w:color="auto" w:fill="auto"/>
        <w:tabs>
          <w:tab w:val="left" w:pos="960"/>
        </w:tabs>
        <w:spacing w:line="420" w:lineRule="exact"/>
        <w:ind w:firstLine="420" w:firstLineChars="200"/>
        <w:jc w:val="both"/>
        <w:rPr>
          <w:rFonts w:hint="eastAsia" w:ascii="宋体" w:hAnsi="宋体" w:eastAsia="宋体" w:cs="宋体"/>
          <w:kern w:val="2"/>
          <w:sz w:val="21"/>
          <w:szCs w:val="21"/>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both"/>
        <w:outlineLvl w:val="0"/>
        <w:rPr>
          <w:rFonts w:hint="eastAsia" w:ascii="宋体" w:hAnsi="宋体" w:cs="宋体"/>
          <w:color w:val="000000"/>
          <w:sz w:val="20"/>
          <w:szCs w:val="20"/>
          <w:lang w:eastAsia="zh-CN"/>
        </w:rPr>
      </w:pPr>
      <w:r>
        <w:rPr>
          <w:rFonts w:hint="eastAsia" w:ascii="宋体" w:hAnsi="宋体" w:cs="宋体"/>
          <w:color w:val="000000"/>
          <w:sz w:val="20"/>
          <w:szCs w:val="20"/>
          <w:lang w:eastAsia="zh-CN"/>
        </w:rPr>
        <w:t>附表：</w:t>
      </w:r>
    </w:p>
    <w:tbl>
      <w:tblPr>
        <w:tblStyle w:val="3"/>
        <w:tblW w:w="5000" w:type="pct"/>
        <w:tblInd w:w="0" w:type="dxa"/>
        <w:tblLayout w:type="autofit"/>
        <w:tblCellMar>
          <w:top w:w="0" w:type="dxa"/>
          <w:left w:w="108" w:type="dxa"/>
          <w:bottom w:w="0" w:type="dxa"/>
          <w:right w:w="108" w:type="dxa"/>
        </w:tblCellMar>
      </w:tblPr>
      <w:tblGrid>
        <w:gridCol w:w="2148"/>
        <w:gridCol w:w="1075"/>
        <w:gridCol w:w="1074"/>
        <w:gridCol w:w="616"/>
        <w:gridCol w:w="825"/>
        <w:gridCol w:w="1074"/>
        <w:gridCol w:w="897"/>
        <w:gridCol w:w="813"/>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FFFFFF"/>
              <w:jc w:val="center"/>
              <w:outlineLvl w:val="0"/>
              <w:rPr>
                <w:rFonts w:ascii="宋体" w:hAnsi="宋体" w:eastAsia="宋体" w:cs="宋体"/>
                <w:b/>
                <w:bCs/>
                <w:color w:val="000000"/>
                <w:kern w:val="2"/>
                <w:sz w:val="32"/>
                <w:szCs w:val="32"/>
              </w:rPr>
            </w:pPr>
            <w:r>
              <w:rPr>
                <w:rFonts w:hint="eastAsia" w:ascii="宋体" w:hAnsi="宋体" w:eastAsia="宋体" w:cs="宋体"/>
                <w:b/>
                <w:bCs/>
                <w:color w:val="000000"/>
                <w:sz w:val="20"/>
                <w:szCs w:val="20"/>
              </w:rPr>
              <w:t>“三公”经费财政拨款预算情况表</w:t>
            </w:r>
          </w:p>
        </w:tc>
      </w:tr>
      <w:tr>
        <w:tblPrEx>
          <w:tblCellMar>
            <w:top w:w="0" w:type="dxa"/>
            <w:left w:w="108" w:type="dxa"/>
            <w:bottom w:w="0" w:type="dxa"/>
            <w:right w:w="108" w:type="dxa"/>
          </w:tblCellMar>
        </w:tblPrEx>
        <w:trPr>
          <w:trHeight w:val="440" w:hRule="atLeast"/>
        </w:trPr>
        <w:tc>
          <w:tcPr>
            <w:tcW w:w="3367" w:type="pct"/>
            <w:gridSpan w:val="5"/>
            <w:tcBorders>
              <w:top w:val="nil"/>
              <w:left w:val="nil"/>
              <w:bottom w:val="nil"/>
              <w:right w:val="nil"/>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单位名称:中国共产主义青年团深圳市福田区委员会</w:t>
            </w:r>
          </w:p>
        </w:tc>
        <w:tc>
          <w:tcPr>
            <w:tcW w:w="630" w:type="pct"/>
            <w:tcBorders>
              <w:top w:val="nil"/>
              <w:left w:val="nil"/>
              <w:bottom w:val="nil"/>
              <w:right w:val="nil"/>
            </w:tcBorders>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1002" w:type="pct"/>
            <w:gridSpan w:val="2"/>
            <w:tcBorders>
              <w:top w:val="nil"/>
              <w:left w:val="nil"/>
              <w:bottom w:val="nil"/>
              <w:right w:val="nil"/>
            </w:tcBorders>
            <w:noWrap w:val="0"/>
            <w:vAlign w:val="center"/>
          </w:tcPr>
          <w:p>
            <w:pPr>
              <w:widowControl/>
              <w:shd w:val="clear" w:color="auto" w:fill="auto"/>
              <w:adjustRightInd w:val="0"/>
              <w:snapToGrid w:val="0"/>
              <w:jc w:val="right"/>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trHeight w:val="460" w:hRule="atLeast"/>
        </w:trPr>
        <w:tc>
          <w:tcPr>
            <w:tcW w:w="1261"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预算单位</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年度</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“三</w:t>
            </w:r>
            <w:bookmarkStart w:id="0" w:name="_GoBack"/>
            <w:bookmarkEnd w:id="0"/>
            <w:r>
              <w:rPr>
                <w:rFonts w:hint="eastAsia" w:ascii="宋体" w:hAnsi="宋体" w:eastAsia="宋体" w:cs="宋体"/>
                <w:color w:val="000000"/>
                <w:kern w:val="0"/>
                <w:sz w:val="20"/>
                <w:szCs w:val="20"/>
                <w:lang w:bidi="ar"/>
              </w:rPr>
              <w:t>公”经费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财政拨款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预算总额</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因公出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国(境)费</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公务接待费</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公务用车购置及运行维护费</w:t>
            </w:r>
          </w:p>
        </w:tc>
      </w:tr>
      <w:tr>
        <w:tblPrEx>
          <w:tblCellMar>
            <w:top w:w="0" w:type="dxa"/>
            <w:left w:w="108" w:type="dxa"/>
            <w:bottom w:w="0" w:type="dxa"/>
            <w:right w:w="108" w:type="dxa"/>
          </w:tblCellMar>
        </w:tblPrEx>
        <w:trPr>
          <w:trHeight w:val="420" w:hRule="atLeast"/>
        </w:trPr>
        <w:tc>
          <w:tcPr>
            <w:tcW w:w="126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hd w:val="clear" w:color="auto" w:fill="auto"/>
              <w:adjustRightInd w:val="0"/>
              <w:snapToGrid w:val="0"/>
              <w:jc w:val="center"/>
              <w:rPr>
                <w:rFonts w:ascii="宋体" w:hAnsi="宋体" w:eastAsia="宋体" w:cs="宋体"/>
                <w:color w:val="000000"/>
                <w:kern w:val="2"/>
                <w:sz w:val="20"/>
                <w:szCs w:val="20"/>
              </w:rPr>
            </w:pPr>
          </w:p>
        </w:tc>
        <w:tc>
          <w:tcPr>
            <w:tcW w:w="6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小计</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公务用车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购置费</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hd w:val="clear" w:color="auto" w:fill="auto"/>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公务用车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运行维护费</w:t>
            </w:r>
          </w:p>
        </w:tc>
      </w:tr>
      <w:tr>
        <w:tblPrEx>
          <w:tblCellMar>
            <w:top w:w="0" w:type="dxa"/>
            <w:left w:w="108" w:type="dxa"/>
            <w:bottom w:w="0" w:type="dxa"/>
            <w:right w:w="108" w:type="dxa"/>
          </w:tblCellMar>
        </w:tblPrEx>
        <w:trPr>
          <w:trHeight w:val="400" w:hRule="atLeast"/>
        </w:trPr>
        <w:tc>
          <w:tcPr>
            <w:tcW w:w="126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中国共产主义青年团深圳市福田区委员会</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2022年</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4.43</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0.76</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3.67</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sz w:val="20"/>
                <w:szCs w:val="20"/>
              </w:rPr>
              <w:t>3.67</w:t>
            </w:r>
          </w:p>
        </w:tc>
      </w:tr>
      <w:tr>
        <w:tblPrEx>
          <w:tblCellMar>
            <w:top w:w="0" w:type="dxa"/>
            <w:left w:w="108" w:type="dxa"/>
            <w:bottom w:w="0" w:type="dxa"/>
            <w:right w:w="108" w:type="dxa"/>
          </w:tblCellMar>
        </w:tblPrEx>
        <w:trPr>
          <w:trHeight w:val="440" w:hRule="atLeast"/>
        </w:trPr>
        <w:tc>
          <w:tcPr>
            <w:tcW w:w="126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eastAsia="宋体" w:cs="宋体"/>
                <w:color w:val="000000"/>
                <w:kern w:val="2"/>
                <w:sz w:val="20"/>
                <w:szCs w:val="20"/>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2023年</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sz w:val="20"/>
                <w:szCs w:val="20"/>
              </w:rPr>
              <w:t>3.47</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sz w:val="20"/>
                <w:szCs w:val="20"/>
              </w:rPr>
              <w:t>3.47</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sz w:val="20"/>
                <w:szCs w:val="20"/>
              </w:rPr>
              <w:t>3.47</w:t>
            </w:r>
          </w:p>
        </w:tc>
      </w:tr>
      <w:tr>
        <w:tblPrEx>
          <w:tblCellMar>
            <w:top w:w="0" w:type="dxa"/>
            <w:left w:w="108" w:type="dxa"/>
            <w:bottom w:w="0" w:type="dxa"/>
            <w:right w:w="108" w:type="dxa"/>
          </w:tblCellMar>
        </w:tblPrEx>
        <w:trPr>
          <w:trHeight w:val="380" w:hRule="atLeast"/>
        </w:trPr>
        <w:tc>
          <w:tcPr>
            <w:tcW w:w="126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eastAsia="宋体" w:cs="宋体"/>
                <w:color w:val="000000"/>
                <w:kern w:val="2"/>
                <w:sz w:val="20"/>
                <w:szCs w:val="20"/>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增减变化金额</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-0.96</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-0.76</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-0.2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eastAsia="宋体" w:cs="宋体"/>
                <w:color w:val="000000"/>
                <w:kern w:val="0"/>
                <w:sz w:val="20"/>
                <w:szCs w:val="20"/>
                <w:lang w:bidi="ar"/>
              </w:rPr>
              <w:t>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eastAsia="宋体" w:cs="宋体"/>
                <w:color w:val="000000"/>
                <w:kern w:val="2"/>
                <w:sz w:val="20"/>
                <w:szCs w:val="20"/>
              </w:rPr>
            </w:pPr>
            <w:r>
              <w:rPr>
                <w:rFonts w:hint="eastAsia" w:ascii="宋体" w:hAnsi="宋体" w:cs="宋体"/>
                <w:color w:val="000000"/>
                <w:kern w:val="0"/>
                <w:sz w:val="20"/>
                <w:szCs w:val="20"/>
                <w:lang w:bidi="ar"/>
              </w:rPr>
              <w:t>-0.2</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B67FA"/>
    <w:multiLevelType w:val="singleLevel"/>
    <w:tmpl w:val="722B67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024D3"/>
    <w:rsid w:val="68CE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outlineLvl w:val="0"/>
    </w:pPr>
    <w:rPr>
      <w:rFonts w:ascii="Arial" w:hAnsi="Arial" w:eastAsia="Arial" w:cs="Arial"/>
      <w:b/>
      <w:bCs/>
      <w:color w:val="000000"/>
      <w:sz w:val="48"/>
      <w:szCs w:val="4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2023-01-29T10:15:00Z</dcterms:created>
  <dc:creator>31370</dc:creator>
  <cp:lastModifiedBy>木子</cp:lastModifiedBy>
  <cp:lastPrinted>2023-02-10T06:16:15Z</cp:lastPrinted>
  <dcterms:modified xsi:type="dcterms:W3CDTF">2023-02-10T06:16:19Z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1265AFD54746427281C7343BB1BE6892</vt:lpwstr>
  </property>
</Properties>
</file>