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kinsoku/>
        <w:wordWrap/>
        <w:overflowPunct/>
        <w:topLinePunct w:val="0"/>
        <w:autoSpaceDE/>
        <w:autoSpaceDN/>
        <w:bidi w:val="0"/>
        <w:adjustRightInd/>
        <w:snapToGrid/>
        <w:spacing w:line="579" w:lineRule="exact"/>
        <w:jc w:val="left"/>
        <w:textAlignment w:val="auto"/>
        <w:rPr>
          <w:rStyle w:val="5"/>
          <w:rFonts w:hint="default" w:ascii="黑体" w:hAnsi="黑体" w:eastAsia="黑体" w:cs="黑体"/>
          <w:b w:val="0"/>
          <w:bCs w:val="0"/>
          <w:sz w:val="32"/>
          <w:szCs w:val="32"/>
          <w:lang w:val="en-US" w:eastAsia="zh-CN"/>
        </w:rPr>
      </w:pPr>
      <w:r>
        <w:rPr>
          <w:rStyle w:val="5"/>
          <w:rFonts w:hint="eastAsia" w:ascii="黑体" w:hAnsi="黑体" w:eastAsia="黑体" w:cs="黑体"/>
          <w:b w:val="0"/>
          <w:bCs w:val="0"/>
          <w:sz w:val="32"/>
          <w:szCs w:val="32"/>
          <w:lang w:val="en-US" w:eastAsia="zh-CN"/>
        </w:rPr>
        <w:t>附件1</w:t>
      </w:r>
    </w:p>
    <w:p>
      <w:pPr>
        <w:pStyle w:val="2"/>
        <w:keepNext w:val="0"/>
        <w:keepLines w:val="0"/>
        <w:pageBreakBefore w:val="0"/>
        <w:kinsoku/>
        <w:wordWrap/>
        <w:overflowPunct/>
        <w:topLinePunct w:val="0"/>
        <w:autoSpaceDE/>
        <w:autoSpaceDN/>
        <w:bidi w:val="0"/>
        <w:adjustRightInd/>
        <w:snapToGrid/>
        <w:spacing w:line="579" w:lineRule="exact"/>
        <w:jc w:val="center"/>
        <w:textAlignment w:val="auto"/>
        <w:rPr>
          <w:rStyle w:val="5"/>
          <w:rFonts w:hint="eastAsia" w:asciiTheme="majorEastAsia" w:hAnsiTheme="majorEastAsia" w:eastAsiaTheme="majorEastAsia"/>
          <w:sz w:val="44"/>
          <w:szCs w:val="44"/>
        </w:rPr>
      </w:pPr>
    </w:p>
    <w:p>
      <w:pPr>
        <w:pStyle w:val="2"/>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b w:val="0"/>
          <w:bCs w:val="0"/>
          <w:sz w:val="44"/>
          <w:szCs w:val="44"/>
        </w:rPr>
      </w:pPr>
      <w:r>
        <w:rPr>
          <w:rStyle w:val="5"/>
          <w:rFonts w:hint="eastAsia" w:ascii="方正小标宋_GBK" w:hAnsi="方正小标宋_GBK" w:eastAsia="方正小标宋_GBK" w:cs="方正小标宋_GBK"/>
          <w:b w:val="0"/>
          <w:bCs w:val="0"/>
          <w:sz w:val="44"/>
          <w:szCs w:val="44"/>
        </w:rPr>
        <w:t>深圳市行政调解实施办法（试行）</w:t>
      </w:r>
    </w:p>
    <w:p>
      <w:pPr>
        <w:pStyle w:val="2"/>
        <w:keepNext w:val="0"/>
        <w:keepLines w:val="0"/>
        <w:pageBreakBefore w:val="0"/>
        <w:kinsoku/>
        <w:wordWrap/>
        <w:overflowPunct/>
        <w:topLinePunct w:val="0"/>
        <w:autoSpaceDE/>
        <w:autoSpaceDN/>
        <w:bidi w:val="0"/>
        <w:adjustRightInd/>
        <w:snapToGrid/>
        <w:spacing w:line="579" w:lineRule="exact"/>
        <w:textAlignment w:val="auto"/>
        <w:rPr>
          <w:rFonts w:hint="eastAsia" w:ascii="仿宋_GB2312" w:eastAsia="仿宋_GB2312"/>
          <w:sz w:val="32"/>
          <w:szCs w:val="32"/>
        </w:rPr>
      </w:pPr>
      <w:r>
        <w:rPr>
          <w:rFonts w:hint="eastAsia" w:ascii="仿宋_GB2312" w:eastAsia="仿宋_GB2312"/>
          <w:sz w:val="32"/>
          <w:szCs w:val="32"/>
        </w:rPr>
        <w:t>　　</w:t>
      </w:r>
    </w:p>
    <w:p>
      <w:pPr>
        <w:pStyle w:val="2"/>
        <w:keepNext w:val="0"/>
        <w:keepLines w:val="0"/>
        <w:pageBreakBefore w:val="0"/>
        <w:widowControl/>
        <w:kinsoku/>
        <w:wordWrap/>
        <w:overflowPunct/>
        <w:topLinePunct w:val="0"/>
        <w:autoSpaceDE/>
        <w:autoSpaceDN/>
        <w:bidi w:val="0"/>
        <w:adjustRightInd/>
        <w:snapToGrid/>
        <w:spacing w:line="579" w:lineRule="exact"/>
        <w:ind w:firstLine="642" w:firstLineChars="200"/>
        <w:textAlignment w:val="auto"/>
        <w:rPr>
          <w:rFonts w:hint="eastAsia" w:ascii="仿宋_GB2312" w:eastAsia="仿宋_GB2312"/>
          <w:sz w:val="32"/>
          <w:szCs w:val="32"/>
        </w:rPr>
      </w:pPr>
      <w:r>
        <w:rPr>
          <w:rStyle w:val="5"/>
          <w:rFonts w:hint="eastAsia" w:ascii="仿宋_GB2312" w:eastAsia="仿宋_GB2312"/>
          <w:sz w:val="32"/>
          <w:szCs w:val="32"/>
        </w:rPr>
        <w:t>第一条</w:t>
      </w:r>
      <w:r>
        <w:rPr>
          <w:rFonts w:hint="eastAsia" w:eastAsia="仿宋_GB2312"/>
          <w:sz w:val="32"/>
          <w:szCs w:val="32"/>
        </w:rPr>
        <w:t> </w:t>
      </w:r>
      <w:r>
        <w:rPr>
          <w:rFonts w:hint="eastAsia" w:ascii="仿宋_GB2312" w:eastAsia="仿宋_GB2312"/>
          <w:sz w:val="32"/>
          <w:szCs w:val="32"/>
        </w:rPr>
        <w:t xml:space="preserve"> 为了及时有效化解争议，维护社会稳定，规范行政调解工作，根据《国务院关于加强法治政府建设的意见》（国发〔2010〕33号）以及相关法律法规规定，结合我市实际，制定本办法。</w:t>
      </w:r>
    </w:p>
    <w:p>
      <w:pPr>
        <w:pStyle w:val="2"/>
        <w:keepNext w:val="0"/>
        <w:keepLines w:val="0"/>
        <w:pageBreakBefore w:val="0"/>
        <w:kinsoku/>
        <w:wordWrap/>
        <w:overflowPunct/>
        <w:topLinePunct w:val="0"/>
        <w:autoSpaceDE/>
        <w:autoSpaceDN/>
        <w:bidi w:val="0"/>
        <w:adjustRightInd/>
        <w:snapToGrid/>
        <w:spacing w:line="579" w:lineRule="exact"/>
        <w:textAlignment w:val="auto"/>
        <w:rPr>
          <w:rFonts w:hint="eastAsia" w:ascii="仿宋_GB2312" w:eastAsia="仿宋_GB2312"/>
          <w:sz w:val="32"/>
          <w:szCs w:val="32"/>
        </w:rPr>
      </w:pPr>
      <w:r>
        <w:rPr>
          <w:rFonts w:hint="eastAsia" w:ascii="仿宋_GB2312" w:eastAsia="仿宋_GB2312"/>
          <w:sz w:val="32"/>
          <w:szCs w:val="32"/>
        </w:rPr>
        <w:t>　　</w:t>
      </w:r>
      <w:r>
        <w:rPr>
          <w:rStyle w:val="5"/>
          <w:rFonts w:hint="eastAsia" w:ascii="仿宋_GB2312" w:eastAsia="仿宋_GB2312"/>
          <w:sz w:val="32"/>
          <w:szCs w:val="32"/>
        </w:rPr>
        <w:t>第二条</w:t>
      </w:r>
      <w:r>
        <w:rPr>
          <w:rFonts w:hint="eastAsia" w:eastAsia="仿宋_GB2312"/>
          <w:sz w:val="32"/>
          <w:szCs w:val="32"/>
        </w:rPr>
        <w:t> </w:t>
      </w:r>
      <w:r>
        <w:rPr>
          <w:rFonts w:hint="eastAsia" w:ascii="仿宋_GB2312" w:eastAsia="仿宋_GB2312"/>
          <w:sz w:val="32"/>
          <w:szCs w:val="32"/>
        </w:rPr>
        <w:t xml:space="preserve"> 市、区（含新区，下同）政府及其工作部门（统称行政机关）开展行政调解工作适用本办法。法律、法规对专项行政调解有规定的，从其规定。</w:t>
      </w:r>
    </w:p>
    <w:p>
      <w:pPr>
        <w:pStyle w:val="2"/>
        <w:keepNext w:val="0"/>
        <w:keepLines w:val="0"/>
        <w:pageBreakBefore w:val="0"/>
        <w:kinsoku/>
        <w:wordWrap/>
        <w:overflowPunct/>
        <w:topLinePunct w:val="0"/>
        <w:autoSpaceDE/>
        <w:autoSpaceDN/>
        <w:bidi w:val="0"/>
        <w:adjustRightInd/>
        <w:snapToGrid/>
        <w:spacing w:line="579" w:lineRule="exact"/>
        <w:textAlignment w:val="auto"/>
        <w:rPr>
          <w:rFonts w:hint="eastAsia" w:ascii="仿宋_GB2312" w:eastAsia="仿宋_GB2312"/>
          <w:sz w:val="32"/>
          <w:szCs w:val="32"/>
        </w:rPr>
      </w:pPr>
      <w:r>
        <w:rPr>
          <w:rFonts w:hint="eastAsia" w:ascii="仿宋_GB2312" w:eastAsia="仿宋_GB2312"/>
          <w:sz w:val="32"/>
          <w:szCs w:val="32"/>
        </w:rPr>
        <w:t>　　本办法所称行政调解，是指行政机关作为调解机关，以</w:t>
      </w:r>
      <w:bookmarkStart w:id="0" w:name="_GoBack"/>
      <w:bookmarkEnd w:id="0"/>
      <w:r>
        <w:rPr>
          <w:rFonts w:hint="eastAsia" w:ascii="仿宋_GB2312" w:eastAsia="仿宋_GB2312"/>
          <w:sz w:val="32"/>
          <w:szCs w:val="32"/>
        </w:rPr>
        <w:t>法律、法规为依据，以自愿为原则，通过对争议各方的说服与劝导，促使各方当事人互让互谅、平等协商，达成协议，以解决有关争议的活动。</w:t>
      </w:r>
    </w:p>
    <w:p>
      <w:pPr>
        <w:pStyle w:val="2"/>
        <w:keepNext w:val="0"/>
        <w:keepLines w:val="0"/>
        <w:pageBreakBefore w:val="0"/>
        <w:kinsoku/>
        <w:wordWrap/>
        <w:overflowPunct/>
        <w:topLinePunct w:val="0"/>
        <w:autoSpaceDE/>
        <w:autoSpaceDN/>
        <w:bidi w:val="0"/>
        <w:adjustRightInd/>
        <w:snapToGrid/>
        <w:spacing w:line="579" w:lineRule="exact"/>
        <w:textAlignment w:val="auto"/>
        <w:rPr>
          <w:rFonts w:hint="eastAsia" w:ascii="仿宋_GB2312" w:eastAsia="仿宋_GB2312"/>
          <w:sz w:val="32"/>
          <w:szCs w:val="32"/>
        </w:rPr>
      </w:pPr>
      <w:r>
        <w:rPr>
          <w:rFonts w:hint="eastAsia" w:ascii="仿宋_GB2312" w:eastAsia="仿宋_GB2312"/>
          <w:sz w:val="32"/>
          <w:szCs w:val="32"/>
        </w:rPr>
        <w:t>　　</w:t>
      </w:r>
      <w:r>
        <w:rPr>
          <w:rStyle w:val="5"/>
          <w:rFonts w:hint="eastAsia" w:ascii="仿宋_GB2312" w:eastAsia="仿宋_GB2312"/>
          <w:sz w:val="32"/>
          <w:szCs w:val="32"/>
        </w:rPr>
        <w:t>第三条</w:t>
      </w:r>
      <w:r>
        <w:rPr>
          <w:rFonts w:hint="eastAsia" w:eastAsia="仿宋_GB2312"/>
          <w:sz w:val="32"/>
          <w:szCs w:val="32"/>
        </w:rPr>
        <w:t> </w:t>
      </w:r>
      <w:r>
        <w:rPr>
          <w:rFonts w:hint="eastAsia" w:ascii="仿宋_GB2312" w:eastAsia="仿宋_GB2312"/>
          <w:sz w:val="32"/>
          <w:szCs w:val="32"/>
        </w:rPr>
        <w:t xml:space="preserve"> 行政机关可以对下列争议进行调解：</w:t>
      </w:r>
    </w:p>
    <w:p>
      <w:pPr>
        <w:pStyle w:val="2"/>
        <w:keepNext w:val="0"/>
        <w:keepLines w:val="0"/>
        <w:pageBreakBefore w:val="0"/>
        <w:kinsoku/>
        <w:wordWrap/>
        <w:overflowPunct/>
        <w:topLinePunct w:val="0"/>
        <w:autoSpaceDE/>
        <w:autoSpaceDN/>
        <w:bidi w:val="0"/>
        <w:adjustRightInd/>
        <w:snapToGrid/>
        <w:spacing w:line="579" w:lineRule="exact"/>
        <w:textAlignment w:val="auto"/>
        <w:rPr>
          <w:rFonts w:hint="eastAsia" w:ascii="仿宋_GB2312" w:eastAsia="仿宋_GB2312"/>
          <w:sz w:val="32"/>
          <w:szCs w:val="32"/>
        </w:rPr>
      </w:pPr>
      <w:r>
        <w:rPr>
          <w:rFonts w:hint="eastAsia" w:ascii="仿宋_GB2312" w:eastAsia="仿宋_GB2312"/>
          <w:sz w:val="32"/>
          <w:szCs w:val="32"/>
        </w:rPr>
        <w:t>　　（一）法律、法规规定由行政机关调解的公民、法人或者其他组织之间因治安管理、环境保护、医疗卫生、消费者权益保护、劳动保障等事宜产生的争议；</w:t>
      </w:r>
    </w:p>
    <w:p>
      <w:pPr>
        <w:pStyle w:val="2"/>
        <w:keepNext w:val="0"/>
        <w:keepLines w:val="0"/>
        <w:pageBreakBefore w:val="0"/>
        <w:kinsoku/>
        <w:wordWrap/>
        <w:overflowPunct/>
        <w:topLinePunct w:val="0"/>
        <w:autoSpaceDE/>
        <w:autoSpaceDN/>
        <w:bidi w:val="0"/>
        <w:adjustRightInd/>
        <w:snapToGrid/>
        <w:spacing w:line="579" w:lineRule="exact"/>
        <w:textAlignment w:val="auto"/>
        <w:rPr>
          <w:rFonts w:hint="eastAsia" w:ascii="仿宋_GB2312" w:eastAsia="仿宋_GB2312"/>
          <w:sz w:val="32"/>
          <w:szCs w:val="32"/>
        </w:rPr>
      </w:pPr>
      <w:r>
        <w:rPr>
          <w:rFonts w:hint="eastAsia" w:ascii="仿宋_GB2312" w:eastAsia="仿宋_GB2312"/>
          <w:sz w:val="32"/>
          <w:szCs w:val="32"/>
        </w:rPr>
        <w:t>　　（二）行政机关与公民、法人或者其他组织之间因行政补偿和具有行政管理特征的政府合同引发的争议；</w:t>
      </w:r>
    </w:p>
    <w:p>
      <w:pPr>
        <w:pStyle w:val="2"/>
        <w:keepNext w:val="0"/>
        <w:keepLines w:val="0"/>
        <w:pageBreakBefore w:val="0"/>
        <w:kinsoku/>
        <w:wordWrap/>
        <w:overflowPunct/>
        <w:topLinePunct w:val="0"/>
        <w:autoSpaceDE/>
        <w:autoSpaceDN/>
        <w:bidi w:val="0"/>
        <w:adjustRightInd/>
        <w:snapToGrid/>
        <w:spacing w:line="579" w:lineRule="exact"/>
        <w:textAlignment w:val="auto"/>
        <w:rPr>
          <w:rFonts w:hint="eastAsia" w:ascii="仿宋_GB2312" w:eastAsia="仿宋_GB2312"/>
          <w:sz w:val="32"/>
          <w:szCs w:val="32"/>
        </w:rPr>
      </w:pPr>
      <w:r>
        <w:rPr>
          <w:rFonts w:hint="eastAsia" w:ascii="仿宋_GB2312" w:eastAsia="仿宋_GB2312"/>
          <w:sz w:val="32"/>
          <w:szCs w:val="32"/>
        </w:rPr>
        <w:t>　　（三）其他依法可以进行调解的或市政府确定进行调解的争议。</w:t>
      </w:r>
    </w:p>
    <w:p>
      <w:pPr>
        <w:pStyle w:val="2"/>
        <w:keepNext w:val="0"/>
        <w:keepLines w:val="0"/>
        <w:pageBreakBefore w:val="0"/>
        <w:kinsoku/>
        <w:wordWrap/>
        <w:overflowPunct/>
        <w:topLinePunct w:val="0"/>
        <w:autoSpaceDE/>
        <w:autoSpaceDN/>
        <w:bidi w:val="0"/>
        <w:adjustRightInd/>
        <w:snapToGrid/>
        <w:spacing w:line="579" w:lineRule="exact"/>
        <w:textAlignment w:val="auto"/>
        <w:rPr>
          <w:rFonts w:hint="eastAsia" w:ascii="仿宋_GB2312" w:eastAsia="仿宋_GB2312"/>
          <w:sz w:val="32"/>
          <w:szCs w:val="32"/>
        </w:rPr>
      </w:pPr>
      <w:r>
        <w:rPr>
          <w:rFonts w:hint="eastAsia" w:ascii="仿宋_GB2312" w:eastAsia="仿宋_GB2312"/>
          <w:sz w:val="32"/>
          <w:szCs w:val="32"/>
        </w:rPr>
        <w:t>　　第四条</w:t>
      </w:r>
      <w:r>
        <w:rPr>
          <w:rFonts w:hint="eastAsia" w:eastAsia="仿宋_GB2312"/>
          <w:sz w:val="32"/>
          <w:szCs w:val="32"/>
        </w:rPr>
        <w:t> </w:t>
      </w:r>
      <w:r>
        <w:rPr>
          <w:rFonts w:hint="eastAsia" w:ascii="仿宋_GB2312" w:eastAsia="仿宋_GB2312"/>
          <w:sz w:val="32"/>
          <w:szCs w:val="32"/>
        </w:rPr>
        <w:t xml:space="preserve"> 行政调解实行属地管理和分级负责工作机制，行政机关应对发生在本辖区、本部门的争议进行主动排查，充分运用各种有效手段予以解决。</w:t>
      </w:r>
    </w:p>
    <w:p>
      <w:pPr>
        <w:pStyle w:val="2"/>
        <w:keepNext w:val="0"/>
        <w:keepLines w:val="0"/>
        <w:pageBreakBefore w:val="0"/>
        <w:kinsoku/>
        <w:wordWrap/>
        <w:overflowPunct/>
        <w:topLinePunct w:val="0"/>
        <w:autoSpaceDE/>
        <w:autoSpaceDN/>
        <w:bidi w:val="0"/>
        <w:adjustRightInd/>
        <w:snapToGrid/>
        <w:spacing w:line="579" w:lineRule="exact"/>
        <w:textAlignment w:val="auto"/>
        <w:rPr>
          <w:rFonts w:hint="eastAsia" w:ascii="仿宋_GB2312" w:eastAsia="仿宋_GB2312"/>
          <w:sz w:val="32"/>
          <w:szCs w:val="32"/>
        </w:rPr>
      </w:pPr>
      <w:r>
        <w:rPr>
          <w:rFonts w:hint="eastAsia" w:ascii="仿宋_GB2312" w:eastAsia="仿宋_GB2312"/>
          <w:sz w:val="32"/>
          <w:szCs w:val="32"/>
        </w:rPr>
        <w:t>　　</w:t>
      </w:r>
      <w:r>
        <w:rPr>
          <w:rStyle w:val="5"/>
          <w:rFonts w:hint="eastAsia" w:ascii="仿宋_GB2312" w:eastAsia="仿宋_GB2312"/>
          <w:sz w:val="32"/>
          <w:szCs w:val="32"/>
        </w:rPr>
        <w:t>第五条</w:t>
      </w:r>
      <w:r>
        <w:rPr>
          <w:rFonts w:hint="eastAsia" w:eastAsia="仿宋_GB2312"/>
          <w:sz w:val="32"/>
          <w:szCs w:val="32"/>
        </w:rPr>
        <w:t> </w:t>
      </w:r>
      <w:r>
        <w:rPr>
          <w:rFonts w:hint="eastAsia" w:ascii="仿宋_GB2312" w:eastAsia="仿宋_GB2312"/>
          <w:sz w:val="32"/>
          <w:szCs w:val="32"/>
        </w:rPr>
        <w:t xml:space="preserve"> 行政调解坚持自愿平等、程序规范、依法合理、公平公正、高效便民的基本原则。</w:t>
      </w:r>
    </w:p>
    <w:p>
      <w:pPr>
        <w:pStyle w:val="2"/>
        <w:keepNext w:val="0"/>
        <w:keepLines w:val="0"/>
        <w:pageBreakBefore w:val="0"/>
        <w:kinsoku/>
        <w:wordWrap/>
        <w:overflowPunct/>
        <w:topLinePunct w:val="0"/>
        <w:autoSpaceDE/>
        <w:autoSpaceDN/>
        <w:bidi w:val="0"/>
        <w:adjustRightInd/>
        <w:snapToGrid/>
        <w:spacing w:line="579" w:lineRule="exact"/>
        <w:textAlignment w:val="auto"/>
        <w:rPr>
          <w:rFonts w:hint="eastAsia" w:ascii="仿宋_GB2312" w:eastAsia="仿宋_GB2312"/>
          <w:sz w:val="32"/>
          <w:szCs w:val="32"/>
        </w:rPr>
      </w:pPr>
      <w:r>
        <w:rPr>
          <w:rFonts w:hint="eastAsia" w:ascii="仿宋_GB2312" w:eastAsia="仿宋_GB2312"/>
          <w:sz w:val="32"/>
          <w:szCs w:val="32"/>
        </w:rPr>
        <w:t>　　</w:t>
      </w:r>
      <w:r>
        <w:rPr>
          <w:rStyle w:val="5"/>
          <w:rFonts w:hint="eastAsia" w:ascii="仿宋_GB2312" w:eastAsia="仿宋_GB2312"/>
          <w:sz w:val="32"/>
          <w:szCs w:val="32"/>
        </w:rPr>
        <w:t>第六条</w:t>
      </w:r>
      <w:r>
        <w:rPr>
          <w:rFonts w:hint="eastAsia" w:eastAsia="仿宋_GB2312"/>
          <w:sz w:val="32"/>
          <w:szCs w:val="32"/>
        </w:rPr>
        <w:t> </w:t>
      </w:r>
      <w:r>
        <w:rPr>
          <w:rFonts w:hint="eastAsia" w:ascii="仿宋_GB2312" w:eastAsia="仿宋_GB2312"/>
          <w:sz w:val="32"/>
          <w:szCs w:val="32"/>
        </w:rPr>
        <w:t xml:space="preserve"> 行政机关应当加强行政调解工作，建立行政调解机制，对能够通过行政调解解决的争议，应依法进行调解。</w:t>
      </w:r>
    </w:p>
    <w:p>
      <w:pPr>
        <w:pStyle w:val="2"/>
        <w:keepNext w:val="0"/>
        <w:keepLines w:val="0"/>
        <w:pageBreakBefore w:val="0"/>
        <w:kinsoku/>
        <w:wordWrap/>
        <w:overflowPunct/>
        <w:topLinePunct w:val="0"/>
        <w:autoSpaceDE/>
        <w:autoSpaceDN/>
        <w:bidi w:val="0"/>
        <w:adjustRightInd/>
        <w:snapToGrid/>
        <w:spacing w:line="579" w:lineRule="exact"/>
        <w:textAlignment w:val="auto"/>
        <w:rPr>
          <w:rFonts w:hint="eastAsia" w:ascii="仿宋_GB2312" w:eastAsia="仿宋_GB2312"/>
          <w:sz w:val="32"/>
          <w:szCs w:val="32"/>
        </w:rPr>
      </w:pPr>
      <w:r>
        <w:rPr>
          <w:rFonts w:hint="eastAsia" w:ascii="仿宋_GB2312" w:eastAsia="仿宋_GB2312"/>
          <w:sz w:val="32"/>
          <w:szCs w:val="32"/>
        </w:rPr>
        <w:t>　　市、区政府应将行政调解工作纳入本级政府年度法治政府建设考评方案。</w:t>
      </w:r>
    </w:p>
    <w:p>
      <w:pPr>
        <w:pStyle w:val="2"/>
        <w:keepNext w:val="0"/>
        <w:keepLines w:val="0"/>
        <w:pageBreakBefore w:val="0"/>
        <w:kinsoku/>
        <w:wordWrap/>
        <w:overflowPunct/>
        <w:topLinePunct w:val="0"/>
        <w:autoSpaceDE/>
        <w:autoSpaceDN/>
        <w:bidi w:val="0"/>
        <w:adjustRightInd/>
        <w:snapToGrid/>
        <w:spacing w:line="579" w:lineRule="exact"/>
        <w:textAlignment w:val="auto"/>
        <w:rPr>
          <w:rFonts w:hint="eastAsia" w:ascii="仿宋_GB2312" w:eastAsia="仿宋_GB2312"/>
          <w:sz w:val="32"/>
          <w:szCs w:val="32"/>
        </w:rPr>
      </w:pPr>
      <w:r>
        <w:rPr>
          <w:rFonts w:hint="eastAsia" w:ascii="仿宋_GB2312" w:eastAsia="仿宋_GB2312"/>
          <w:sz w:val="32"/>
          <w:szCs w:val="32"/>
        </w:rPr>
        <w:t>　　行政机关每年向本级政府法制机构报送上一年度的行政调解情况。</w:t>
      </w:r>
    </w:p>
    <w:p>
      <w:pPr>
        <w:pStyle w:val="2"/>
        <w:keepNext w:val="0"/>
        <w:keepLines w:val="0"/>
        <w:pageBreakBefore w:val="0"/>
        <w:kinsoku/>
        <w:wordWrap/>
        <w:overflowPunct/>
        <w:topLinePunct w:val="0"/>
        <w:autoSpaceDE/>
        <w:autoSpaceDN/>
        <w:bidi w:val="0"/>
        <w:adjustRightInd/>
        <w:snapToGrid/>
        <w:spacing w:line="579" w:lineRule="exact"/>
        <w:textAlignment w:val="auto"/>
        <w:rPr>
          <w:rFonts w:hint="eastAsia" w:ascii="仿宋_GB2312" w:eastAsia="仿宋_GB2312"/>
          <w:sz w:val="32"/>
          <w:szCs w:val="32"/>
        </w:rPr>
      </w:pPr>
      <w:r>
        <w:rPr>
          <w:rFonts w:hint="eastAsia" w:ascii="仿宋_GB2312" w:eastAsia="仿宋_GB2312"/>
          <w:sz w:val="32"/>
          <w:szCs w:val="32"/>
        </w:rPr>
        <w:t>　　</w:t>
      </w:r>
      <w:r>
        <w:rPr>
          <w:rStyle w:val="5"/>
          <w:rFonts w:hint="eastAsia" w:ascii="仿宋_GB2312" w:eastAsia="仿宋_GB2312"/>
          <w:sz w:val="32"/>
          <w:szCs w:val="32"/>
        </w:rPr>
        <w:t>第七条</w:t>
      </w:r>
      <w:r>
        <w:rPr>
          <w:rFonts w:hint="eastAsia" w:eastAsia="仿宋_GB2312"/>
          <w:sz w:val="32"/>
          <w:szCs w:val="32"/>
        </w:rPr>
        <w:t> </w:t>
      </w:r>
      <w:r>
        <w:rPr>
          <w:rFonts w:hint="eastAsia" w:ascii="仿宋_GB2312" w:eastAsia="仿宋_GB2312"/>
          <w:sz w:val="32"/>
          <w:szCs w:val="32"/>
        </w:rPr>
        <w:t xml:space="preserve"> 行政机关应当加强与人民法院、人民调解组织的沟通联系，完善行政调解与司法调解、人民调解相衔接的协调联动、信息沟通和效力衔接机制。</w:t>
      </w:r>
    </w:p>
    <w:p>
      <w:pPr>
        <w:pStyle w:val="2"/>
        <w:keepNext w:val="0"/>
        <w:keepLines w:val="0"/>
        <w:pageBreakBefore w:val="0"/>
        <w:kinsoku/>
        <w:wordWrap/>
        <w:overflowPunct/>
        <w:topLinePunct w:val="0"/>
        <w:autoSpaceDE/>
        <w:autoSpaceDN/>
        <w:bidi w:val="0"/>
        <w:adjustRightInd/>
        <w:snapToGrid/>
        <w:spacing w:line="579" w:lineRule="exact"/>
        <w:textAlignment w:val="auto"/>
        <w:rPr>
          <w:rFonts w:hint="eastAsia" w:ascii="仿宋_GB2312" w:eastAsia="仿宋_GB2312"/>
          <w:sz w:val="32"/>
          <w:szCs w:val="32"/>
        </w:rPr>
      </w:pPr>
      <w:r>
        <w:rPr>
          <w:rFonts w:hint="eastAsia" w:ascii="仿宋_GB2312" w:eastAsia="仿宋_GB2312"/>
          <w:sz w:val="32"/>
          <w:szCs w:val="32"/>
        </w:rPr>
        <w:t>　　</w:t>
      </w:r>
      <w:r>
        <w:rPr>
          <w:rStyle w:val="5"/>
          <w:rFonts w:hint="eastAsia" w:ascii="仿宋_GB2312" w:eastAsia="仿宋_GB2312"/>
          <w:sz w:val="32"/>
          <w:szCs w:val="32"/>
        </w:rPr>
        <w:t>第八条</w:t>
      </w:r>
      <w:r>
        <w:rPr>
          <w:rFonts w:hint="eastAsia" w:eastAsia="仿宋_GB2312"/>
          <w:sz w:val="32"/>
          <w:szCs w:val="32"/>
        </w:rPr>
        <w:t> </w:t>
      </w:r>
      <w:r>
        <w:rPr>
          <w:rFonts w:hint="eastAsia" w:ascii="仿宋_GB2312" w:eastAsia="仿宋_GB2312"/>
          <w:sz w:val="32"/>
          <w:szCs w:val="32"/>
        </w:rPr>
        <w:t xml:space="preserve"> 市政府法制机构负责统筹、指导全市行政调解工作，具体内容如下：</w:t>
      </w:r>
    </w:p>
    <w:p>
      <w:pPr>
        <w:pStyle w:val="2"/>
        <w:keepNext w:val="0"/>
        <w:keepLines w:val="0"/>
        <w:pageBreakBefore w:val="0"/>
        <w:kinsoku/>
        <w:wordWrap/>
        <w:overflowPunct/>
        <w:topLinePunct w:val="0"/>
        <w:autoSpaceDE/>
        <w:autoSpaceDN/>
        <w:bidi w:val="0"/>
        <w:adjustRightInd/>
        <w:snapToGrid/>
        <w:spacing w:line="579" w:lineRule="exact"/>
        <w:textAlignment w:val="auto"/>
        <w:rPr>
          <w:rFonts w:hint="eastAsia" w:ascii="仿宋_GB2312" w:eastAsia="仿宋_GB2312"/>
          <w:sz w:val="32"/>
          <w:szCs w:val="32"/>
        </w:rPr>
      </w:pPr>
      <w:r>
        <w:rPr>
          <w:rFonts w:hint="eastAsia" w:ascii="仿宋_GB2312" w:eastAsia="仿宋_GB2312"/>
          <w:sz w:val="32"/>
          <w:szCs w:val="32"/>
        </w:rPr>
        <w:t>　　（一）建立健全行政调解具体工作程序和规范，完善相关配套制度；</w:t>
      </w:r>
    </w:p>
    <w:p>
      <w:pPr>
        <w:pStyle w:val="2"/>
        <w:keepNext w:val="0"/>
        <w:keepLines w:val="0"/>
        <w:pageBreakBefore w:val="0"/>
        <w:kinsoku/>
        <w:wordWrap/>
        <w:overflowPunct/>
        <w:topLinePunct w:val="0"/>
        <w:autoSpaceDE/>
        <w:autoSpaceDN/>
        <w:bidi w:val="0"/>
        <w:adjustRightInd/>
        <w:snapToGrid/>
        <w:spacing w:line="579" w:lineRule="exact"/>
        <w:textAlignment w:val="auto"/>
        <w:rPr>
          <w:rFonts w:hint="eastAsia" w:ascii="仿宋_GB2312" w:eastAsia="仿宋_GB2312"/>
          <w:sz w:val="32"/>
          <w:szCs w:val="32"/>
        </w:rPr>
      </w:pPr>
      <w:r>
        <w:rPr>
          <w:rFonts w:hint="eastAsia" w:ascii="仿宋_GB2312" w:eastAsia="仿宋_GB2312"/>
          <w:sz w:val="32"/>
          <w:szCs w:val="32"/>
        </w:rPr>
        <w:t>　　（二）调查研究行政调解工作存在的带有普遍性的问题，提出解决意见和建议；</w:t>
      </w:r>
    </w:p>
    <w:p>
      <w:pPr>
        <w:pStyle w:val="2"/>
        <w:keepNext w:val="0"/>
        <w:keepLines w:val="0"/>
        <w:pageBreakBefore w:val="0"/>
        <w:kinsoku/>
        <w:wordWrap/>
        <w:overflowPunct/>
        <w:topLinePunct w:val="0"/>
        <w:autoSpaceDE/>
        <w:autoSpaceDN/>
        <w:bidi w:val="0"/>
        <w:adjustRightInd/>
        <w:snapToGrid/>
        <w:spacing w:line="579" w:lineRule="exact"/>
        <w:textAlignment w:val="auto"/>
        <w:rPr>
          <w:rFonts w:hint="eastAsia" w:ascii="仿宋_GB2312" w:eastAsia="仿宋_GB2312"/>
          <w:sz w:val="32"/>
          <w:szCs w:val="32"/>
        </w:rPr>
      </w:pPr>
      <w:r>
        <w:rPr>
          <w:rFonts w:hint="eastAsia" w:ascii="仿宋_GB2312" w:eastAsia="仿宋_GB2312"/>
          <w:sz w:val="32"/>
          <w:szCs w:val="32"/>
        </w:rPr>
        <w:t>　　（三）加强行政调解信息工作，促进全市行政调解信息交流和资源共享；</w:t>
      </w:r>
    </w:p>
    <w:p>
      <w:pPr>
        <w:pStyle w:val="2"/>
        <w:keepNext w:val="0"/>
        <w:keepLines w:val="0"/>
        <w:pageBreakBefore w:val="0"/>
        <w:kinsoku/>
        <w:wordWrap/>
        <w:overflowPunct/>
        <w:topLinePunct w:val="0"/>
        <w:autoSpaceDE/>
        <w:autoSpaceDN/>
        <w:bidi w:val="0"/>
        <w:adjustRightInd/>
        <w:snapToGrid/>
        <w:spacing w:line="579" w:lineRule="exact"/>
        <w:textAlignment w:val="auto"/>
        <w:rPr>
          <w:rFonts w:hint="eastAsia" w:ascii="仿宋_GB2312" w:eastAsia="仿宋_GB2312"/>
          <w:sz w:val="32"/>
          <w:szCs w:val="32"/>
        </w:rPr>
      </w:pPr>
      <w:r>
        <w:rPr>
          <w:rFonts w:hint="eastAsia" w:ascii="仿宋_GB2312" w:eastAsia="仿宋_GB2312"/>
          <w:sz w:val="32"/>
          <w:szCs w:val="32"/>
        </w:rPr>
        <w:t>　　（四）组织开展经验交流，推广行政调解工作中的好作法；</w:t>
      </w:r>
    </w:p>
    <w:p>
      <w:pPr>
        <w:pStyle w:val="2"/>
        <w:keepNext w:val="0"/>
        <w:keepLines w:val="0"/>
        <w:pageBreakBefore w:val="0"/>
        <w:kinsoku/>
        <w:wordWrap/>
        <w:overflowPunct/>
        <w:topLinePunct w:val="0"/>
        <w:autoSpaceDE/>
        <w:autoSpaceDN/>
        <w:bidi w:val="0"/>
        <w:adjustRightInd/>
        <w:snapToGrid/>
        <w:spacing w:line="579" w:lineRule="exact"/>
        <w:textAlignment w:val="auto"/>
        <w:rPr>
          <w:rFonts w:hint="eastAsia" w:ascii="仿宋_GB2312" w:eastAsia="仿宋_GB2312"/>
          <w:sz w:val="32"/>
          <w:szCs w:val="32"/>
        </w:rPr>
      </w:pPr>
      <w:r>
        <w:rPr>
          <w:rFonts w:hint="eastAsia" w:ascii="仿宋_GB2312" w:eastAsia="仿宋_GB2312"/>
          <w:sz w:val="32"/>
          <w:szCs w:val="32"/>
        </w:rPr>
        <w:t>　　（五）依照本办法履行调解职责。</w:t>
      </w:r>
    </w:p>
    <w:p>
      <w:pPr>
        <w:pStyle w:val="2"/>
        <w:keepNext w:val="0"/>
        <w:keepLines w:val="0"/>
        <w:pageBreakBefore w:val="0"/>
        <w:kinsoku/>
        <w:wordWrap/>
        <w:overflowPunct/>
        <w:topLinePunct w:val="0"/>
        <w:autoSpaceDE/>
        <w:autoSpaceDN/>
        <w:bidi w:val="0"/>
        <w:adjustRightInd/>
        <w:snapToGrid/>
        <w:spacing w:line="579" w:lineRule="exact"/>
        <w:textAlignment w:val="auto"/>
        <w:rPr>
          <w:rFonts w:hint="eastAsia" w:ascii="仿宋_GB2312" w:eastAsia="仿宋_GB2312"/>
          <w:sz w:val="32"/>
          <w:szCs w:val="32"/>
        </w:rPr>
      </w:pPr>
      <w:r>
        <w:rPr>
          <w:rFonts w:hint="eastAsia" w:ascii="仿宋_GB2312" w:eastAsia="仿宋_GB2312"/>
          <w:sz w:val="32"/>
          <w:szCs w:val="32"/>
        </w:rPr>
        <w:t>　</w:t>
      </w:r>
      <w:r>
        <w:rPr>
          <w:rStyle w:val="5"/>
          <w:rFonts w:hint="eastAsia" w:ascii="仿宋_GB2312" w:eastAsia="仿宋_GB2312"/>
          <w:sz w:val="32"/>
          <w:szCs w:val="32"/>
        </w:rPr>
        <w:t>　第九条</w:t>
      </w:r>
      <w:r>
        <w:rPr>
          <w:rFonts w:hint="eastAsia" w:eastAsia="仿宋_GB2312"/>
          <w:sz w:val="32"/>
          <w:szCs w:val="32"/>
        </w:rPr>
        <w:t> </w:t>
      </w:r>
      <w:r>
        <w:rPr>
          <w:rFonts w:hint="eastAsia" w:ascii="仿宋_GB2312" w:eastAsia="仿宋_GB2312"/>
          <w:sz w:val="32"/>
          <w:szCs w:val="32"/>
        </w:rPr>
        <w:t xml:space="preserve"> 依法承担行政调解职能的政府部门应根据自身工作需要指定专门机构负责行政调解工作，并为行政调解工作的开展提供必要保障。</w:t>
      </w:r>
    </w:p>
    <w:p>
      <w:pPr>
        <w:pStyle w:val="2"/>
        <w:keepNext w:val="0"/>
        <w:keepLines w:val="0"/>
        <w:pageBreakBefore w:val="0"/>
        <w:kinsoku/>
        <w:wordWrap/>
        <w:overflowPunct/>
        <w:topLinePunct w:val="0"/>
        <w:autoSpaceDE/>
        <w:autoSpaceDN/>
        <w:bidi w:val="0"/>
        <w:adjustRightInd/>
        <w:snapToGrid/>
        <w:spacing w:line="579" w:lineRule="exact"/>
        <w:textAlignment w:val="auto"/>
        <w:rPr>
          <w:rFonts w:hint="eastAsia" w:ascii="仿宋_GB2312" w:eastAsia="仿宋_GB2312"/>
          <w:sz w:val="32"/>
          <w:szCs w:val="32"/>
        </w:rPr>
      </w:pPr>
      <w:r>
        <w:rPr>
          <w:rFonts w:hint="eastAsia" w:ascii="仿宋_GB2312" w:eastAsia="仿宋_GB2312"/>
          <w:sz w:val="32"/>
          <w:szCs w:val="32"/>
        </w:rPr>
        <w:t>　　</w:t>
      </w:r>
      <w:r>
        <w:rPr>
          <w:rStyle w:val="5"/>
          <w:rFonts w:hint="eastAsia" w:ascii="仿宋_GB2312" w:eastAsia="仿宋_GB2312"/>
          <w:sz w:val="32"/>
          <w:szCs w:val="32"/>
        </w:rPr>
        <w:t>第十条</w:t>
      </w:r>
      <w:r>
        <w:rPr>
          <w:rFonts w:hint="eastAsia" w:eastAsia="仿宋_GB2312"/>
          <w:sz w:val="32"/>
          <w:szCs w:val="32"/>
        </w:rPr>
        <w:t> </w:t>
      </w:r>
      <w:r>
        <w:rPr>
          <w:rFonts w:hint="eastAsia" w:ascii="仿宋_GB2312" w:eastAsia="仿宋_GB2312"/>
          <w:sz w:val="32"/>
          <w:szCs w:val="32"/>
        </w:rPr>
        <w:t xml:space="preserve"> 本办法第三条第一项规定的争议由主管职能部门作为调解机关负责调解。</w:t>
      </w:r>
    </w:p>
    <w:p>
      <w:pPr>
        <w:pStyle w:val="2"/>
        <w:keepNext w:val="0"/>
        <w:keepLines w:val="0"/>
        <w:pageBreakBefore w:val="0"/>
        <w:kinsoku/>
        <w:wordWrap/>
        <w:overflowPunct/>
        <w:topLinePunct w:val="0"/>
        <w:autoSpaceDE/>
        <w:autoSpaceDN/>
        <w:bidi w:val="0"/>
        <w:adjustRightInd/>
        <w:snapToGrid/>
        <w:spacing w:line="579" w:lineRule="exact"/>
        <w:textAlignment w:val="auto"/>
        <w:rPr>
          <w:rFonts w:hint="eastAsia" w:ascii="仿宋_GB2312" w:eastAsia="仿宋_GB2312"/>
          <w:sz w:val="32"/>
          <w:szCs w:val="32"/>
        </w:rPr>
      </w:pPr>
      <w:r>
        <w:rPr>
          <w:rFonts w:hint="eastAsia" w:ascii="仿宋_GB2312" w:eastAsia="仿宋_GB2312"/>
          <w:sz w:val="32"/>
          <w:szCs w:val="32"/>
        </w:rPr>
        <w:t>　　本办法第三条第二项规定的争议由本级政府法制机构作为调解机关负责调解。</w:t>
      </w:r>
    </w:p>
    <w:p>
      <w:pPr>
        <w:pStyle w:val="2"/>
        <w:keepNext w:val="0"/>
        <w:keepLines w:val="0"/>
        <w:pageBreakBefore w:val="0"/>
        <w:kinsoku/>
        <w:wordWrap/>
        <w:overflowPunct/>
        <w:topLinePunct w:val="0"/>
        <w:autoSpaceDE/>
        <w:autoSpaceDN/>
        <w:bidi w:val="0"/>
        <w:adjustRightInd/>
        <w:snapToGrid/>
        <w:spacing w:line="579" w:lineRule="exact"/>
        <w:textAlignment w:val="auto"/>
        <w:rPr>
          <w:rFonts w:hint="eastAsia" w:ascii="仿宋_GB2312" w:eastAsia="仿宋_GB2312"/>
          <w:sz w:val="32"/>
          <w:szCs w:val="32"/>
        </w:rPr>
      </w:pPr>
      <w:r>
        <w:rPr>
          <w:rFonts w:hint="eastAsia" w:ascii="仿宋_GB2312" w:eastAsia="仿宋_GB2312"/>
          <w:sz w:val="32"/>
          <w:szCs w:val="32"/>
        </w:rPr>
        <w:t>　　</w:t>
      </w:r>
      <w:r>
        <w:rPr>
          <w:rStyle w:val="5"/>
          <w:rFonts w:hint="eastAsia" w:ascii="仿宋_GB2312" w:eastAsia="仿宋_GB2312"/>
          <w:sz w:val="32"/>
          <w:szCs w:val="32"/>
        </w:rPr>
        <w:t>第十一条</w:t>
      </w:r>
      <w:r>
        <w:rPr>
          <w:rFonts w:hint="eastAsia" w:eastAsia="仿宋_GB2312"/>
          <w:sz w:val="32"/>
          <w:szCs w:val="32"/>
        </w:rPr>
        <w:t> </w:t>
      </w:r>
      <w:r>
        <w:rPr>
          <w:rFonts w:hint="eastAsia" w:ascii="仿宋_GB2312" w:eastAsia="仿宋_GB2312"/>
          <w:sz w:val="32"/>
          <w:szCs w:val="32"/>
        </w:rPr>
        <w:t xml:space="preserve"> 争议调解机关不明确的或有争议的，由本级政府法制机构指定调解机关。</w:t>
      </w:r>
    </w:p>
    <w:p>
      <w:pPr>
        <w:pStyle w:val="2"/>
        <w:keepNext w:val="0"/>
        <w:keepLines w:val="0"/>
        <w:pageBreakBefore w:val="0"/>
        <w:kinsoku/>
        <w:wordWrap/>
        <w:overflowPunct/>
        <w:topLinePunct w:val="0"/>
        <w:autoSpaceDE/>
        <w:autoSpaceDN/>
        <w:bidi w:val="0"/>
        <w:adjustRightInd/>
        <w:snapToGrid/>
        <w:spacing w:line="579" w:lineRule="exact"/>
        <w:textAlignment w:val="auto"/>
        <w:rPr>
          <w:rFonts w:hint="eastAsia" w:ascii="仿宋_GB2312" w:eastAsia="仿宋_GB2312"/>
          <w:sz w:val="32"/>
          <w:szCs w:val="32"/>
        </w:rPr>
      </w:pPr>
      <w:r>
        <w:rPr>
          <w:rFonts w:hint="eastAsia" w:ascii="仿宋_GB2312" w:eastAsia="仿宋_GB2312"/>
          <w:sz w:val="32"/>
          <w:szCs w:val="32"/>
        </w:rPr>
        <w:t>　　</w:t>
      </w:r>
      <w:r>
        <w:rPr>
          <w:rStyle w:val="5"/>
          <w:rFonts w:hint="eastAsia" w:ascii="仿宋_GB2312" w:eastAsia="仿宋_GB2312"/>
          <w:sz w:val="32"/>
          <w:szCs w:val="32"/>
        </w:rPr>
        <w:t>第十二条</w:t>
      </w:r>
      <w:r>
        <w:rPr>
          <w:rFonts w:hint="eastAsia" w:eastAsia="仿宋_GB2312"/>
          <w:sz w:val="32"/>
          <w:szCs w:val="32"/>
        </w:rPr>
        <w:t> </w:t>
      </w:r>
      <w:r>
        <w:rPr>
          <w:rFonts w:hint="eastAsia" w:ascii="仿宋_GB2312" w:eastAsia="仿宋_GB2312"/>
          <w:sz w:val="32"/>
          <w:szCs w:val="32"/>
        </w:rPr>
        <w:t xml:space="preserve"> 争议当事人经协商一致后，可以书面或口头向调解机关申请行政调解。</w:t>
      </w:r>
    </w:p>
    <w:p>
      <w:pPr>
        <w:pStyle w:val="2"/>
        <w:keepNext w:val="0"/>
        <w:keepLines w:val="0"/>
        <w:pageBreakBefore w:val="0"/>
        <w:kinsoku/>
        <w:wordWrap/>
        <w:overflowPunct/>
        <w:topLinePunct w:val="0"/>
        <w:autoSpaceDE/>
        <w:autoSpaceDN/>
        <w:bidi w:val="0"/>
        <w:adjustRightInd/>
        <w:snapToGrid/>
        <w:spacing w:line="579" w:lineRule="exact"/>
        <w:textAlignment w:val="auto"/>
        <w:rPr>
          <w:rFonts w:hint="eastAsia" w:ascii="仿宋_GB2312" w:eastAsia="仿宋_GB2312"/>
          <w:sz w:val="32"/>
          <w:szCs w:val="32"/>
        </w:rPr>
      </w:pPr>
      <w:r>
        <w:rPr>
          <w:rFonts w:hint="eastAsia" w:ascii="仿宋_GB2312" w:eastAsia="仿宋_GB2312"/>
          <w:sz w:val="32"/>
          <w:szCs w:val="32"/>
        </w:rPr>
        <w:t>　　行政机关发现需要进行调解的争议，征得当事人的同意后，可依职权启动行政调解程序。</w:t>
      </w:r>
    </w:p>
    <w:p>
      <w:pPr>
        <w:pStyle w:val="2"/>
        <w:keepNext w:val="0"/>
        <w:keepLines w:val="0"/>
        <w:pageBreakBefore w:val="0"/>
        <w:kinsoku/>
        <w:wordWrap/>
        <w:overflowPunct/>
        <w:topLinePunct w:val="0"/>
        <w:autoSpaceDE/>
        <w:autoSpaceDN/>
        <w:bidi w:val="0"/>
        <w:adjustRightInd/>
        <w:snapToGrid/>
        <w:spacing w:line="579" w:lineRule="exact"/>
        <w:textAlignment w:val="auto"/>
        <w:rPr>
          <w:rFonts w:hint="eastAsia" w:ascii="仿宋_GB2312" w:eastAsia="仿宋_GB2312"/>
          <w:sz w:val="32"/>
          <w:szCs w:val="32"/>
        </w:rPr>
      </w:pPr>
      <w:r>
        <w:rPr>
          <w:rFonts w:hint="eastAsia" w:ascii="仿宋_GB2312" w:eastAsia="仿宋_GB2312"/>
          <w:sz w:val="32"/>
          <w:szCs w:val="32"/>
        </w:rPr>
        <w:t>　　</w:t>
      </w:r>
      <w:r>
        <w:rPr>
          <w:rStyle w:val="5"/>
          <w:rFonts w:hint="eastAsia" w:ascii="仿宋_GB2312" w:eastAsia="仿宋_GB2312"/>
          <w:sz w:val="32"/>
          <w:szCs w:val="32"/>
        </w:rPr>
        <w:t>第十三条</w:t>
      </w:r>
      <w:r>
        <w:rPr>
          <w:rFonts w:hint="eastAsia" w:eastAsia="仿宋_GB2312"/>
          <w:sz w:val="32"/>
          <w:szCs w:val="32"/>
        </w:rPr>
        <w:t> </w:t>
      </w:r>
      <w:r>
        <w:rPr>
          <w:rFonts w:hint="eastAsia" w:ascii="仿宋_GB2312" w:eastAsia="仿宋_GB2312"/>
          <w:sz w:val="32"/>
          <w:szCs w:val="32"/>
        </w:rPr>
        <w:t xml:space="preserve"> 调解机关收到行政调解申请后，应当审查是否符合本部门行政调解受理范围，并在5个工作日内书面决定是否受理。</w:t>
      </w:r>
    </w:p>
    <w:p>
      <w:pPr>
        <w:pStyle w:val="2"/>
        <w:keepNext w:val="0"/>
        <w:keepLines w:val="0"/>
        <w:pageBreakBefore w:val="0"/>
        <w:kinsoku/>
        <w:wordWrap/>
        <w:overflowPunct/>
        <w:topLinePunct w:val="0"/>
        <w:autoSpaceDE/>
        <w:autoSpaceDN/>
        <w:bidi w:val="0"/>
        <w:adjustRightInd/>
        <w:snapToGrid/>
        <w:spacing w:line="579" w:lineRule="exact"/>
        <w:textAlignment w:val="auto"/>
        <w:rPr>
          <w:rFonts w:hint="eastAsia" w:ascii="仿宋_GB2312" w:eastAsia="仿宋_GB2312"/>
          <w:sz w:val="32"/>
          <w:szCs w:val="32"/>
        </w:rPr>
      </w:pPr>
      <w:r>
        <w:rPr>
          <w:rFonts w:hint="eastAsia" w:ascii="仿宋_GB2312" w:eastAsia="仿宋_GB2312"/>
          <w:sz w:val="32"/>
          <w:szCs w:val="32"/>
        </w:rPr>
        <w:t>　　</w:t>
      </w:r>
      <w:r>
        <w:rPr>
          <w:rStyle w:val="5"/>
          <w:rFonts w:hint="eastAsia" w:ascii="仿宋_GB2312" w:eastAsia="仿宋_GB2312"/>
          <w:sz w:val="32"/>
          <w:szCs w:val="32"/>
        </w:rPr>
        <w:t>第十四条</w:t>
      </w:r>
      <w:r>
        <w:rPr>
          <w:rFonts w:hint="eastAsia" w:eastAsia="仿宋_GB2312"/>
          <w:sz w:val="32"/>
          <w:szCs w:val="32"/>
        </w:rPr>
        <w:t> </w:t>
      </w:r>
      <w:r>
        <w:rPr>
          <w:rFonts w:hint="eastAsia" w:ascii="仿宋_GB2312" w:eastAsia="仿宋_GB2312"/>
          <w:sz w:val="32"/>
          <w:szCs w:val="32"/>
        </w:rPr>
        <w:t xml:space="preserve"> 调解机关对收到的调解申请进行初步审查后，认为不属于本部门受理范围的或发现争议当事人已启动行政复议、诉讼、仲裁等救济程序的，应书面告知当事人不予受理并说明理由；对不属于本部门受理范围的申请，应及时提醒争议当事人采取其他法律途径解决争议。调解机关正式受理后，发现当事人启动前述救济程序的，应终止调解。</w:t>
      </w:r>
    </w:p>
    <w:p>
      <w:pPr>
        <w:pStyle w:val="2"/>
        <w:keepNext w:val="0"/>
        <w:keepLines w:val="0"/>
        <w:pageBreakBefore w:val="0"/>
        <w:kinsoku/>
        <w:wordWrap/>
        <w:overflowPunct/>
        <w:topLinePunct w:val="0"/>
        <w:autoSpaceDE/>
        <w:autoSpaceDN/>
        <w:bidi w:val="0"/>
        <w:adjustRightInd/>
        <w:snapToGrid/>
        <w:spacing w:line="579" w:lineRule="exact"/>
        <w:textAlignment w:val="auto"/>
        <w:rPr>
          <w:rFonts w:hint="eastAsia" w:ascii="仿宋_GB2312" w:eastAsia="仿宋_GB2312"/>
          <w:sz w:val="32"/>
          <w:szCs w:val="32"/>
        </w:rPr>
      </w:pPr>
      <w:r>
        <w:rPr>
          <w:rFonts w:hint="eastAsia" w:ascii="仿宋_GB2312" w:eastAsia="仿宋_GB2312"/>
          <w:sz w:val="32"/>
          <w:szCs w:val="32"/>
        </w:rPr>
        <w:t>　　</w:t>
      </w:r>
      <w:r>
        <w:rPr>
          <w:rStyle w:val="5"/>
          <w:rFonts w:hint="eastAsia" w:ascii="仿宋_GB2312" w:eastAsia="仿宋_GB2312"/>
          <w:sz w:val="32"/>
          <w:szCs w:val="32"/>
        </w:rPr>
        <w:t>第十五条</w:t>
      </w:r>
      <w:r>
        <w:rPr>
          <w:rFonts w:hint="eastAsia" w:eastAsia="仿宋_GB2312"/>
          <w:sz w:val="32"/>
          <w:szCs w:val="32"/>
        </w:rPr>
        <w:t> </w:t>
      </w:r>
      <w:r>
        <w:rPr>
          <w:rFonts w:hint="eastAsia" w:ascii="仿宋_GB2312" w:eastAsia="仿宋_GB2312"/>
          <w:sz w:val="32"/>
          <w:szCs w:val="32"/>
        </w:rPr>
        <w:t xml:space="preserve"> 调解机关在行政调解活动中应当保障个人隐私、商业秘密不受侵犯，确保当事人能够自由表达真实意愿。</w:t>
      </w:r>
    </w:p>
    <w:p>
      <w:pPr>
        <w:pStyle w:val="2"/>
        <w:keepNext w:val="0"/>
        <w:keepLines w:val="0"/>
        <w:pageBreakBefore w:val="0"/>
        <w:kinsoku/>
        <w:wordWrap/>
        <w:overflowPunct/>
        <w:topLinePunct w:val="0"/>
        <w:autoSpaceDE/>
        <w:autoSpaceDN/>
        <w:bidi w:val="0"/>
        <w:adjustRightInd/>
        <w:snapToGrid/>
        <w:spacing w:line="579" w:lineRule="exact"/>
        <w:textAlignment w:val="auto"/>
        <w:rPr>
          <w:rFonts w:hint="eastAsia" w:ascii="仿宋_GB2312" w:eastAsia="仿宋_GB2312"/>
          <w:sz w:val="32"/>
          <w:szCs w:val="32"/>
        </w:rPr>
      </w:pPr>
      <w:r>
        <w:rPr>
          <w:rFonts w:hint="eastAsia" w:ascii="仿宋_GB2312" w:eastAsia="仿宋_GB2312"/>
          <w:sz w:val="32"/>
          <w:szCs w:val="32"/>
        </w:rPr>
        <w:t>　</w:t>
      </w:r>
      <w:r>
        <w:rPr>
          <w:rStyle w:val="5"/>
          <w:rFonts w:hint="eastAsia" w:ascii="仿宋_GB2312" w:eastAsia="仿宋_GB2312"/>
          <w:sz w:val="32"/>
          <w:szCs w:val="32"/>
        </w:rPr>
        <w:t>　第十六条</w:t>
      </w:r>
      <w:r>
        <w:rPr>
          <w:rFonts w:hint="eastAsia" w:eastAsia="仿宋_GB2312"/>
          <w:sz w:val="32"/>
          <w:szCs w:val="32"/>
        </w:rPr>
        <w:t> </w:t>
      </w:r>
      <w:r>
        <w:rPr>
          <w:rFonts w:hint="eastAsia" w:ascii="仿宋_GB2312" w:eastAsia="仿宋_GB2312"/>
          <w:sz w:val="32"/>
          <w:szCs w:val="32"/>
        </w:rPr>
        <w:t xml:space="preserve"> 行政调解达成协议的，调解机关应当制作行政调解协议书，各方当事人签字之日起生效，对调解当事人具有约束力，当事人应当自觉履行。</w:t>
      </w:r>
    </w:p>
    <w:p>
      <w:pPr>
        <w:pStyle w:val="2"/>
        <w:keepNext w:val="0"/>
        <w:keepLines w:val="0"/>
        <w:pageBreakBefore w:val="0"/>
        <w:kinsoku/>
        <w:wordWrap/>
        <w:overflowPunct/>
        <w:topLinePunct w:val="0"/>
        <w:autoSpaceDE/>
        <w:autoSpaceDN/>
        <w:bidi w:val="0"/>
        <w:adjustRightInd/>
        <w:snapToGrid/>
        <w:spacing w:line="579" w:lineRule="exact"/>
        <w:textAlignment w:val="auto"/>
        <w:rPr>
          <w:rFonts w:hint="eastAsia" w:ascii="仿宋_GB2312" w:eastAsia="仿宋_GB2312"/>
          <w:sz w:val="32"/>
          <w:szCs w:val="32"/>
        </w:rPr>
      </w:pPr>
      <w:r>
        <w:rPr>
          <w:rFonts w:hint="eastAsia" w:ascii="仿宋_GB2312" w:eastAsia="仿宋_GB2312"/>
          <w:sz w:val="32"/>
          <w:szCs w:val="32"/>
        </w:rPr>
        <w:t>　</w:t>
      </w:r>
      <w:r>
        <w:rPr>
          <w:rStyle w:val="5"/>
          <w:rFonts w:hint="eastAsia" w:ascii="仿宋_GB2312" w:eastAsia="仿宋_GB2312"/>
          <w:sz w:val="32"/>
          <w:szCs w:val="32"/>
        </w:rPr>
        <w:t>　第十七条</w:t>
      </w:r>
      <w:r>
        <w:rPr>
          <w:rFonts w:hint="eastAsia" w:eastAsia="仿宋_GB2312"/>
          <w:sz w:val="32"/>
          <w:szCs w:val="32"/>
        </w:rPr>
        <w:t> </w:t>
      </w:r>
      <w:r>
        <w:rPr>
          <w:rFonts w:hint="eastAsia" w:ascii="仿宋_GB2312" w:eastAsia="仿宋_GB2312"/>
          <w:sz w:val="32"/>
          <w:szCs w:val="32"/>
        </w:rPr>
        <w:t xml:space="preserve"> 经行政调解达成的具有给付内容的民事协议，调解机关应当引导当事人依法申请司法确认或者申请公证机构依法进行公证。行政调解协议书经司法确认或者经依法公证后，一方当事人不履行或者履行不适当的，另一方当事人可以依法向有管辖权的人民法院申请执行。</w:t>
      </w:r>
    </w:p>
    <w:p>
      <w:pPr>
        <w:pStyle w:val="2"/>
        <w:keepNext w:val="0"/>
        <w:keepLines w:val="0"/>
        <w:pageBreakBefore w:val="0"/>
        <w:kinsoku/>
        <w:wordWrap/>
        <w:overflowPunct/>
        <w:topLinePunct w:val="0"/>
        <w:autoSpaceDE/>
        <w:autoSpaceDN/>
        <w:bidi w:val="0"/>
        <w:adjustRightInd/>
        <w:snapToGrid/>
        <w:spacing w:line="579" w:lineRule="exact"/>
        <w:textAlignment w:val="auto"/>
        <w:rPr>
          <w:rFonts w:hint="eastAsia" w:ascii="仿宋_GB2312" w:eastAsia="仿宋_GB2312"/>
          <w:sz w:val="32"/>
          <w:szCs w:val="32"/>
        </w:rPr>
      </w:pPr>
      <w:r>
        <w:rPr>
          <w:rFonts w:hint="eastAsia" w:ascii="仿宋_GB2312" w:eastAsia="仿宋_GB2312"/>
          <w:sz w:val="32"/>
          <w:szCs w:val="32"/>
        </w:rPr>
        <w:t>　　</w:t>
      </w:r>
      <w:r>
        <w:rPr>
          <w:rStyle w:val="5"/>
          <w:rFonts w:hint="eastAsia" w:ascii="仿宋_GB2312" w:eastAsia="仿宋_GB2312"/>
          <w:sz w:val="32"/>
          <w:szCs w:val="32"/>
        </w:rPr>
        <w:t>第十八条</w:t>
      </w:r>
      <w:r>
        <w:rPr>
          <w:rFonts w:hint="eastAsia" w:eastAsia="仿宋_GB2312"/>
          <w:sz w:val="32"/>
          <w:szCs w:val="32"/>
        </w:rPr>
        <w:t> </w:t>
      </w:r>
      <w:r>
        <w:rPr>
          <w:rFonts w:hint="eastAsia" w:ascii="仿宋_GB2312" w:eastAsia="仿宋_GB2312"/>
          <w:sz w:val="32"/>
          <w:szCs w:val="32"/>
        </w:rPr>
        <w:t xml:space="preserve"> 经调解无法达成一致，或调解协议生效之前一方反悔的，调解机关应当终止行政调解，制作行政调解终止通知书，并引导当事人通过复议、诉讼、仲裁等法律途径解决争议。</w:t>
      </w:r>
    </w:p>
    <w:p>
      <w:pPr>
        <w:pStyle w:val="2"/>
        <w:keepNext w:val="0"/>
        <w:keepLines w:val="0"/>
        <w:pageBreakBefore w:val="0"/>
        <w:kinsoku/>
        <w:wordWrap/>
        <w:overflowPunct/>
        <w:topLinePunct w:val="0"/>
        <w:autoSpaceDE/>
        <w:autoSpaceDN/>
        <w:bidi w:val="0"/>
        <w:adjustRightInd/>
        <w:snapToGrid/>
        <w:spacing w:line="579" w:lineRule="exact"/>
        <w:textAlignment w:val="auto"/>
        <w:rPr>
          <w:rFonts w:hint="eastAsia" w:ascii="仿宋_GB2312" w:eastAsia="仿宋_GB2312"/>
          <w:sz w:val="32"/>
          <w:szCs w:val="32"/>
        </w:rPr>
      </w:pPr>
      <w:r>
        <w:rPr>
          <w:rFonts w:hint="eastAsia" w:ascii="仿宋_GB2312" w:eastAsia="仿宋_GB2312"/>
          <w:sz w:val="32"/>
          <w:szCs w:val="32"/>
        </w:rPr>
        <w:t>　　</w:t>
      </w:r>
      <w:r>
        <w:rPr>
          <w:rStyle w:val="5"/>
          <w:rFonts w:hint="eastAsia" w:ascii="仿宋_GB2312" w:eastAsia="仿宋_GB2312"/>
          <w:sz w:val="32"/>
          <w:szCs w:val="32"/>
        </w:rPr>
        <w:t>第十九条</w:t>
      </w:r>
      <w:r>
        <w:rPr>
          <w:rFonts w:hint="eastAsia" w:eastAsia="仿宋_GB2312"/>
          <w:sz w:val="32"/>
          <w:szCs w:val="32"/>
        </w:rPr>
        <w:t> </w:t>
      </w:r>
      <w:r>
        <w:rPr>
          <w:rFonts w:hint="eastAsia" w:ascii="仿宋_GB2312" w:eastAsia="仿宋_GB2312"/>
          <w:sz w:val="32"/>
          <w:szCs w:val="32"/>
        </w:rPr>
        <w:t xml:space="preserve"> 调解机关及其工作人员在行政调解工作中有下列情形之一，依照有关规定进行行政问责或者给予行政处分，涉嫌犯罪的，移交司法机关处理：</w:t>
      </w:r>
    </w:p>
    <w:p>
      <w:pPr>
        <w:pStyle w:val="2"/>
        <w:keepNext w:val="0"/>
        <w:keepLines w:val="0"/>
        <w:pageBreakBefore w:val="0"/>
        <w:kinsoku/>
        <w:wordWrap/>
        <w:overflowPunct/>
        <w:topLinePunct w:val="0"/>
        <w:autoSpaceDE/>
        <w:autoSpaceDN/>
        <w:bidi w:val="0"/>
        <w:adjustRightInd/>
        <w:snapToGrid/>
        <w:spacing w:line="579" w:lineRule="exact"/>
        <w:textAlignment w:val="auto"/>
        <w:rPr>
          <w:rFonts w:hint="eastAsia" w:ascii="仿宋_GB2312" w:eastAsia="仿宋_GB2312"/>
          <w:sz w:val="32"/>
          <w:szCs w:val="32"/>
        </w:rPr>
      </w:pPr>
      <w:r>
        <w:rPr>
          <w:rFonts w:hint="eastAsia" w:ascii="仿宋_GB2312" w:eastAsia="仿宋_GB2312"/>
          <w:sz w:val="32"/>
          <w:szCs w:val="32"/>
        </w:rPr>
        <w:t>　　（一）无正当理由不受理行政调解申请的；</w:t>
      </w:r>
    </w:p>
    <w:p>
      <w:pPr>
        <w:pStyle w:val="2"/>
        <w:keepNext w:val="0"/>
        <w:keepLines w:val="0"/>
        <w:pageBreakBefore w:val="0"/>
        <w:kinsoku/>
        <w:wordWrap/>
        <w:overflowPunct/>
        <w:topLinePunct w:val="0"/>
        <w:autoSpaceDE/>
        <w:autoSpaceDN/>
        <w:bidi w:val="0"/>
        <w:adjustRightInd/>
        <w:snapToGrid/>
        <w:spacing w:line="579" w:lineRule="exact"/>
        <w:textAlignment w:val="auto"/>
        <w:rPr>
          <w:rFonts w:hint="eastAsia" w:ascii="仿宋_GB2312" w:eastAsia="仿宋_GB2312"/>
          <w:sz w:val="32"/>
          <w:szCs w:val="32"/>
        </w:rPr>
      </w:pPr>
      <w:r>
        <w:rPr>
          <w:rFonts w:hint="eastAsia" w:ascii="仿宋_GB2312" w:eastAsia="仿宋_GB2312"/>
          <w:sz w:val="32"/>
          <w:szCs w:val="32"/>
        </w:rPr>
        <w:t>　　（二）无正当理由不履行行政调解职责的；</w:t>
      </w:r>
    </w:p>
    <w:p>
      <w:pPr>
        <w:pStyle w:val="2"/>
        <w:keepNext w:val="0"/>
        <w:keepLines w:val="0"/>
        <w:pageBreakBefore w:val="0"/>
        <w:kinsoku/>
        <w:wordWrap/>
        <w:overflowPunct/>
        <w:topLinePunct w:val="0"/>
        <w:autoSpaceDE/>
        <w:autoSpaceDN/>
        <w:bidi w:val="0"/>
        <w:adjustRightInd/>
        <w:snapToGrid/>
        <w:spacing w:line="579" w:lineRule="exact"/>
        <w:textAlignment w:val="auto"/>
        <w:rPr>
          <w:rFonts w:hint="eastAsia" w:ascii="仿宋_GB2312" w:eastAsia="仿宋_GB2312"/>
          <w:sz w:val="32"/>
          <w:szCs w:val="32"/>
        </w:rPr>
      </w:pPr>
      <w:r>
        <w:rPr>
          <w:rFonts w:hint="eastAsia" w:ascii="仿宋_GB2312" w:eastAsia="仿宋_GB2312"/>
          <w:sz w:val="32"/>
          <w:szCs w:val="32"/>
        </w:rPr>
        <w:t>　　（三）徇私舞弊、滥用职权导致争议激化的；</w:t>
      </w:r>
    </w:p>
    <w:p>
      <w:pPr>
        <w:pStyle w:val="2"/>
        <w:keepNext w:val="0"/>
        <w:keepLines w:val="0"/>
        <w:pageBreakBefore w:val="0"/>
        <w:kinsoku/>
        <w:wordWrap/>
        <w:overflowPunct/>
        <w:topLinePunct w:val="0"/>
        <w:autoSpaceDE/>
        <w:autoSpaceDN/>
        <w:bidi w:val="0"/>
        <w:adjustRightInd/>
        <w:snapToGrid/>
        <w:spacing w:line="579" w:lineRule="exact"/>
        <w:textAlignment w:val="auto"/>
        <w:rPr>
          <w:rFonts w:hint="eastAsia" w:ascii="仿宋_GB2312" w:eastAsia="仿宋_GB2312"/>
          <w:sz w:val="32"/>
          <w:szCs w:val="32"/>
        </w:rPr>
      </w:pPr>
      <w:r>
        <w:rPr>
          <w:rFonts w:hint="eastAsia" w:ascii="仿宋_GB2312" w:eastAsia="仿宋_GB2312"/>
          <w:sz w:val="32"/>
          <w:szCs w:val="32"/>
        </w:rPr>
        <w:t>　　（四）压制、侮辱、打击报复当事人的；</w:t>
      </w:r>
    </w:p>
    <w:p>
      <w:pPr>
        <w:pStyle w:val="2"/>
        <w:keepNext w:val="0"/>
        <w:keepLines w:val="0"/>
        <w:pageBreakBefore w:val="0"/>
        <w:kinsoku/>
        <w:wordWrap/>
        <w:overflowPunct/>
        <w:topLinePunct w:val="0"/>
        <w:autoSpaceDE/>
        <w:autoSpaceDN/>
        <w:bidi w:val="0"/>
        <w:adjustRightInd/>
        <w:snapToGrid/>
        <w:spacing w:line="579" w:lineRule="exact"/>
        <w:textAlignment w:val="auto"/>
        <w:rPr>
          <w:rFonts w:hint="eastAsia" w:ascii="仿宋_GB2312" w:eastAsia="仿宋_GB2312"/>
          <w:sz w:val="32"/>
          <w:szCs w:val="32"/>
        </w:rPr>
      </w:pPr>
      <w:r>
        <w:rPr>
          <w:rFonts w:hint="eastAsia" w:ascii="仿宋_GB2312" w:eastAsia="仿宋_GB2312"/>
          <w:sz w:val="32"/>
          <w:szCs w:val="32"/>
        </w:rPr>
        <w:t>　　（五）侵害个人隐私或者商业秘密的；</w:t>
      </w:r>
    </w:p>
    <w:p>
      <w:pPr>
        <w:pStyle w:val="2"/>
        <w:keepNext w:val="0"/>
        <w:keepLines w:val="0"/>
        <w:pageBreakBefore w:val="0"/>
        <w:kinsoku/>
        <w:wordWrap/>
        <w:overflowPunct/>
        <w:topLinePunct w:val="0"/>
        <w:autoSpaceDE/>
        <w:autoSpaceDN/>
        <w:bidi w:val="0"/>
        <w:adjustRightInd/>
        <w:snapToGrid/>
        <w:spacing w:line="579" w:lineRule="exact"/>
        <w:textAlignment w:val="auto"/>
        <w:rPr>
          <w:rFonts w:hint="eastAsia" w:ascii="仿宋_GB2312" w:eastAsia="仿宋_GB2312"/>
          <w:sz w:val="32"/>
          <w:szCs w:val="32"/>
        </w:rPr>
      </w:pPr>
      <w:r>
        <w:rPr>
          <w:rFonts w:hint="eastAsia" w:ascii="仿宋_GB2312" w:eastAsia="仿宋_GB2312"/>
          <w:sz w:val="32"/>
          <w:szCs w:val="32"/>
        </w:rPr>
        <w:t>　　（六）索取、收受当事人的财物或者谋取其他不正当利益的；</w:t>
      </w:r>
    </w:p>
    <w:p>
      <w:pPr>
        <w:pStyle w:val="2"/>
        <w:keepNext w:val="0"/>
        <w:keepLines w:val="0"/>
        <w:pageBreakBefore w:val="0"/>
        <w:kinsoku/>
        <w:wordWrap/>
        <w:overflowPunct/>
        <w:topLinePunct w:val="0"/>
        <w:autoSpaceDE/>
        <w:autoSpaceDN/>
        <w:bidi w:val="0"/>
        <w:adjustRightInd/>
        <w:snapToGrid/>
        <w:spacing w:line="579" w:lineRule="exact"/>
        <w:textAlignment w:val="auto"/>
        <w:rPr>
          <w:rFonts w:hint="eastAsia" w:ascii="仿宋_GB2312" w:eastAsia="仿宋_GB2312"/>
          <w:sz w:val="32"/>
          <w:szCs w:val="32"/>
        </w:rPr>
      </w:pPr>
      <w:r>
        <w:rPr>
          <w:rFonts w:hint="eastAsia" w:ascii="仿宋_GB2312" w:eastAsia="仿宋_GB2312"/>
          <w:sz w:val="32"/>
          <w:szCs w:val="32"/>
        </w:rPr>
        <w:t>　　（七）其他影响行政调解公平、公正等不当行为的。</w:t>
      </w:r>
    </w:p>
    <w:p>
      <w:pPr>
        <w:pStyle w:val="2"/>
        <w:keepNext w:val="0"/>
        <w:keepLines w:val="0"/>
        <w:pageBreakBefore w:val="0"/>
        <w:kinsoku/>
        <w:wordWrap/>
        <w:overflowPunct/>
        <w:topLinePunct w:val="0"/>
        <w:autoSpaceDE/>
        <w:autoSpaceDN/>
        <w:bidi w:val="0"/>
        <w:adjustRightInd/>
        <w:snapToGrid/>
        <w:spacing w:line="579" w:lineRule="exact"/>
        <w:textAlignment w:val="auto"/>
        <w:rPr>
          <w:rFonts w:hint="eastAsia" w:ascii="仿宋_GB2312" w:eastAsia="仿宋_GB2312"/>
          <w:sz w:val="32"/>
          <w:szCs w:val="32"/>
        </w:rPr>
      </w:pPr>
      <w:r>
        <w:rPr>
          <w:rFonts w:hint="eastAsia" w:ascii="仿宋_GB2312" w:eastAsia="仿宋_GB2312"/>
          <w:sz w:val="32"/>
          <w:szCs w:val="32"/>
        </w:rPr>
        <w:t>　　</w:t>
      </w:r>
      <w:r>
        <w:rPr>
          <w:rStyle w:val="5"/>
          <w:rFonts w:hint="eastAsia" w:ascii="仿宋_GB2312" w:eastAsia="仿宋_GB2312"/>
          <w:sz w:val="32"/>
          <w:szCs w:val="32"/>
        </w:rPr>
        <w:t>第二十条</w:t>
      </w:r>
      <w:r>
        <w:rPr>
          <w:rFonts w:hint="eastAsia" w:eastAsia="仿宋_GB2312"/>
          <w:sz w:val="32"/>
          <w:szCs w:val="32"/>
        </w:rPr>
        <w:t> </w:t>
      </w:r>
      <w:r>
        <w:rPr>
          <w:rFonts w:hint="eastAsia" w:ascii="仿宋_GB2312" w:eastAsia="仿宋_GB2312"/>
          <w:sz w:val="32"/>
          <w:szCs w:val="32"/>
        </w:rPr>
        <w:t xml:space="preserve"> 本办法自2013年12月1日起施行。</w:t>
      </w:r>
    </w:p>
    <w:p>
      <w:pPr>
        <w:pStyle w:val="2"/>
        <w:keepNext w:val="0"/>
        <w:keepLines w:val="0"/>
        <w:pageBreakBefore w:val="0"/>
        <w:kinsoku/>
        <w:wordWrap/>
        <w:overflowPunct/>
        <w:topLinePunct w:val="0"/>
        <w:autoSpaceDE/>
        <w:autoSpaceDN/>
        <w:bidi w:val="0"/>
        <w:adjustRightInd/>
        <w:snapToGrid/>
        <w:spacing w:line="579" w:lineRule="exact"/>
        <w:textAlignment w:val="auto"/>
        <w:rPr>
          <w:rFonts w:hint="eastAsia" w:ascii="仿宋_GB2312" w:eastAsia="仿宋_GB2312"/>
          <w:sz w:val="32"/>
          <w:szCs w:val="32"/>
        </w:rPr>
      </w:pPr>
      <w:r>
        <w:rPr>
          <w:rFonts w:hint="eastAsia" w:ascii="仿宋_GB2312" w:eastAsia="仿宋_GB2312"/>
          <w:sz w:val="32"/>
          <w:szCs w:val="32"/>
        </w:rPr>
        <w:t>　　市政府法制机构根据本办法制定行政调解人员选定和调解程序等具体实施细则，各区、市相关部门根据本办法和有关规定制定工作规则。</w:t>
      </w:r>
    </w:p>
    <w:p>
      <w:pPr>
        <w:keepNext w:val="0"/>
        <w:keepLines w:val="0"/>
        <w:pageBreakBefore w:val="0"/>
        <w:kinsoku/>
        <w:wordWrap/>
        <w:overflowPunct/>
        <w:topLinePunct w:val="0"/>
        <w:autoSpaceDE/>
        <w:autoSpaceDN/>
        <w:bidi w:val="0"/>
        <w:adjustRightInd/>
        <w:snapToGrid/>
        <w:spacing w:line="579" w:lineRule="exact"/>
        <w:textAlignment w:val="auto"/>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314C24"/>
    <w:rsid w:val="19314C24"/>
    <w:rsid w:val="5A7B8CBC"/>
    <w:rsid w:val="FDAB8B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ind w:firstLine="0" w:firstLineChars="0"/>
      <w:jc w:val="both"/>
    </w:pPr>
    <w:rPr>
      <w:rFonts w:ascii="Times New Roman" w:hAnsi="Times New Roman" w:eastAsia="宋体" w:cs="Times New Roman"/>
      <w:kern w:val="2"/>
      <w:sz w:val="21"/>
      <w:szCs w:val="20"/>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semiHidden/>
    <w:unhideWhenUsed/>
    <w:qFormat/>
    <w:uiPriority w:val="99"/>
    <w:pPr>
      <w:widowControl/>
      <w:jc w:val="left"/>
    </w:pPr>
    <w:rPr>
      <w:rFonts w:ascii="宋体" w:hAnsi="宋体" w:cs="宋体"/>
      <w:kern w:val="0"/>
      <w:sz w:val="24"/>
      <w:szCs w:val="24"/>
    </w:rPr>
  </w:style>
  <w:style w:type="character" w:styleId="5">
    <w:name w:val="Strong"/>
    <w:basedOn w:val="4"/>
    <w:qFormat/>
    <w:uiPriority w:val="22"/>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Office_11.8.2.11851_F1E327BC-269C-435d-A152-05C5408002CA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2022-12-28T17:16:00Z</dcterms:created>
  <dc:creator>高鸿飞</dc:creator>
  <cp:lastModifiedBy>陈晓旭</cp:lastModifiedBy>
  <dcterms:modified xsi:type="dcterms:W3CDTF">2023-01-06T18:29:35Z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2052-11.8.2.11851</vt:lpwstr>
  </property>
  <property fmtid="{D5CDD505-2E9C-101B-9397-08002B2CF9AE}" pid="3" name="ICV">
    <vt:lpwstr>7750C16D19B07CA6EDF7B763A427083A</vt:lpwstr>
  </property>
</Properties>
</file>