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ascii="黑体" w:hAnsi="黑体" w:eastAsia="黑体"/>
          <w:b/>
          <w:bCs/>
          <w:sz w:val="72"/>
          <w:szCs w:val="72"/>
        </w:rPr>
      </w:pPr>
      <w:bookmarkStart w:id="125" w:name="_GoBack"/>
      <w:bookmarkEnd w:id="125"/>
    </w:p>
    <w:p>
      <w:pPr>
        <w:jc w:val="center"/>
        <w:rPr>
          <w:rFonts w:ascii="黑体" w:hAnsi="黑体" w:eastAsia="黑体"/>
          <w:b/>
          <w:bCs/>
          <w:sz w:val="72"/>
          <w:szCs w:val="72"/>
        </w:rPr>
      </w:pPr>
    </w:p>
    <w:p>
      <w:pPr>
        <w:jc w:val="center"/>
        <w:rPr>
          <w:rFonts w:ascii="黑体" w:hAnsi="黑体" w:eastAsia="黑体"/>
          <w:b/>
          <w:bCs/>
          <w:sz w:val="72"/>
          <w:szCs w:val="72"/>
        </w:rPr>
      </w:pPr>
    </w:p>
    <w:p>
      <w:pPr>
        <w:jc w:val="left"/>
        <w:rPr>
          <w:rFonts w:ascii="黑体" w:hAnsi="黑体" w:eastAsia="黑体"/>
          <w:b/>
          <w:bCs/>
          <w:sz w:val="72"/>
          <w:szCs w:val="72"/>
        </w:rPr>
      </w:pPr>
      <w:r>
        <w:rPr>
          <w:rFonts w:hint="eastAsia" w:ascii="黑体" w:hAnsi="黑体" w:eastAsia="黑体"/>
          <w:b/>
          <w:bCs/>
          <w:sz w:val="72"/>
          <w:szCs w:val="72"/>
        </w:rPr>
        <w:t>2022年福田区电动自行车产品质量监测分析报告</w:t>
      </w:r>
    </w:p>
    <w:p>
      <w:pPr>
        <w:jc w:val="center"/>
        <w:rPr>
          <w:rFonts w:ascii="宋体" w:hAnsi="宋体"/>
          <w:b/>
          <w:bCs/>
          <w:sz w:val="72"/>
          <w:szCs w:val="72"/>
        </w:rPr>
      </w:pPr>
    </w:p>
    <w:p>
      <w:pPr>
        <w:rPr>
          <w:rFonts w:ascii="仿宋_GB2312" w:eastAsia="仿宋_GB2312"/>
          <w:spacing w:val="-20"/>
          <w:kern w:val="10"/>
          <w:sz w:val="32"/>
          <w:szCs w:val="32"/>
        </w:rPr>
      </w:pPr>
    </w:p>
    <w:p>
      <w:pPr>
        <w:rPr>
          <w:rFonts w:ascii="仿宋_GB2312" w:eastAsia="仿宋_GB2312"/>
          <w:spacing w:val="-20"/>
          <w:kern w:val="10"/>
          <w:sz w:val="32"/>
          <w:szCs w:val="32"/>
        </w:rPr>
      </w:pPr>
    </w:p>
    <w:p>
      <w:pPr>
        <w:rPr>
          <w:rFonts w:ascii="仿宋_GB2312" w:eastAsia="仿宋_GB2312"/>
          <w:spacing w:val="-20"/>
          <w:kern w:val="10"/>
          <w:sz w:val="32"/>
          <w:szCs w:val="32"/>
        </w:rPr>
      </w:pPr>
    </w:p>
    <w:p>
      <w:pPr>
        <w:rPr>
          <w:rFonts w:ascii="仿宋_GB2312" w:eastAsia="仿宋_GB2312"/>
          <w:spacing w:val="-20"/>
          <w:kern w:val="10"/>
          <w:sz w:val="32"/>
          <w:szCs w:val="32"/>
        </w:rPr>
      </w:pPr>
    </w:p>
    <w:p>
      <w:pPr>
        <w:rPr>
          <w:rFonts w:ascii="仿宋_GB2312" w:eastAsia="仿宋_GB2312"/>
          <w:spacing w:val="-20"/>
          <w:kern w:val="10"/>
          <w:sz w:val="32"/>
          <w:szCs w:val="32"/>
        </w:rPr>
      </w:pPr>
    </w:p>
    <w:p>
      <w:pPr>
        <w:spacing w:before="240" w:after="240" w:line="360" w:lineRule="auto"/>
        <w:jc w:val="center"/>
        <w:rPr>
          <w:rFonts w:ascii="黑体" w:hAnsi="黑体" w:eastAsia="黑体"/>
          <w:sz w:val="32"/>
          <w:szCs w:val="36"/>
        </w:rPr>
      </w:pPr>
    </w:p>
    <w:p>
      <w:pPr>
        <w:spacing w:before="0" w:after="0" w:line="360" w:lineRule="auto"/>
        <w:jc w:val="center"/>
        <w:outlineLvl w:val="9"/>
        <w:rPr>
          <w:rFonts w:hint="default" w:ascii="黑体" w:hAnsi="黑体" w:eastAsia="黑体"/>
          <w:sz w:val="32"/>
          <w:szCs w:val="36"/>
          <w:lang w:val="en-US" w:eastAsia="zh-CN"/>
        </w:rPr>
      </w:pPr>
      <w:bookmarkStart w:id="0" w:name="_Toc2728"/>
      <w:bookmarkStart w:id="1" w:name="_Toc20042"/>
      <w:bookmarkStart w:id="2" w:name="_Toc26143"/>
      <w:bookmarkStart w:id="3" w:name="_Toc32533"/>
      <w:r>
        <w:rPr>
          <w:rFonts w:hint="eastAsia" w:ascii="黑体" w:hAnsi="黑体" w:eastAsia="黑体"/>
          <w:sz w:val="32"/>
          <w:szCs w:val="36"/>
          <w:lang w:val="en-US" w:eastAsia="zh-CN"/>
        </w:rPr>
        <w:t>深圳市市场监督管理局福田监管局</w:t>
      </w:r>
      <w:bookmarkEnd w:id="0"/>
    </w:p>
    <w:p>
      <w:pPr>
        <w:spacing w:before="0" w:after="0" w:line="360" w:lineRule="auto"/>
        <w:jc w:val="center"/>
        <w:outlineLvl w:val="9"/>
        <w:rPr>
          <w:rFonts w:ascii="黑体" w:hAnsi="黑体" w:eastAsia="黑体"/>
          <w:sz w:val="32"/>
          <w:szCs w:val="36"/>
        </w:rPr>
      </w:pPr>
      <w:bookmarkStart w:id="4" w:name="_Toc8831"/>
      <w:r>
        <w:rPr>
          <w:rFonts w:hint="eastAsia" w:ascii="黑体" w:hAnsi="黑体" w:eastAsia="黑体"/>
          <w:sz w:val="32"/>
          <w:szCs w:val="36"/>
        </w:rPr>
        <w:t>深圳市计量质量检测研究院</w:t>
      </w:r>
      <w:bookmarkEnd w:id="1"/>
      <w:bookmarkEnd w:id="2"/>
      <w:bookmarkEnd w:id="3"/>
      <w:bookmarkEnd w:id="4"/>
    </w:p>
    <w:p>
      <w:pPr>
        <w:spacing w:line="600" w:lineRule="exact"/>
        <w:jc w:val="center"/>
        <w:rPr>
          <w:rFonts w:ascii="黑体" w:hAnsi="黑体" w:eastAsia="黑体"/>
          <w:sz w:val="32"/>
          <w:szCs w:val="36"/>
        </w:rPr>
      </w:pPr>
      <w:r>
        <w:rPr>
          <w:rFonts w:hint="eastAsia" w:ascii="黑体" w:hAnsi="黑体" w:eastAsia="黑体"/>
          <w:sz w:val="32"/>
          <w:szCs w:val="36"/>
        </w:rPr>
        <w:t>二〇二二年十月</w:t>
      </w:r>
    </w:p>
    <w:p>
      <w:pPr>
        <w:jc w:val="center"/>
        <w:rPr>
          <w:rFonts w:ascii="黑体" w:hAnsi="黑体" w:eastAsia="黑体"/>
          <w:sz w:val="32"/>
          <w:szCs w:val="36"/>
        </w:rPr>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pPr>
    </w:p>
    <w:p>
      <w:pPr>
        <w:jc w:val="center"/>
        <w:rPr>
          <w:rFonts w:ascii="黑体" w:hAnsi="黑体" w:eastAsia="黑体"/>
          <w:sz w:val="32"/>
          <w:szCs w:val="36"/>
        </w:rPr>
      </w:pPr>
      <w:r>
        <w:rPr>
          <w:rFonts w:hint="eastAsia" w:ascii="黑体" w:hAnsi="黑体" w:eastAsia="黑体"/>
          <w:sz w:val="32"/>
          <w:szCs w:val="36"/>
        </w:rPr>
        <w:t>目录</w:t>
      </w:r>
    </w:p>
    <w:sdt>
      <w:sdtPr>
        <w:rPr>
          <w:rFonts w:hint="eastAsia" w:ascii="仿宋_GB2312" w:hAnsi="仿宋_GB2312" w:eastAsia="仿宋_GB2312" w:cs="仿宋_GB2312"/>
          <w:sz w:val="28"/>
          <w:szCs w:val="28"/>
        </w:rPr>
        <w:id w:val="147481681"/>
        <w15:color w:val="DBDBDB"/>
        <w:docPartObj>
          <w:docPartGallery w:val="Table of Contents"/>
          <w:docPartUnique/>
        </w:docPartObj>
      </w:sdtPr>
      <w:sdtEndPr>
        <w:rPr>
          <w:rFonts w:hint="eastAsia" w:ascii="仿宋_GB2312" w:hAnsi="仿宋_GB2312" w:eastAsia="仿宋_GB2312" w:cs="仿宋_GB2312"/>
          <w:sz w:val="28"/>
          <w:szCs w:val="28"/>
        </w:rPr>
      </w:sdtEndPr>
      <w:sdtContent>
        <w:p>
          <w:pPr>
            <w:jc w:val="center"/>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TOC \o "1-2" \h \u </w:instrText>
          </w:r>
          <w:r>
            <w:rPr>
              <w:rFonts w:hint="eastAsia" w:ascii="仿宋_GB2312" w:hAnsi="仿宋_GB2312" w:eastAsia="仿宋_GB2312" w:cs="仿宋_GB2312"/>
              <w:sz w:val="28"/>
              <w:szCs w:val="28"/>
            </w:rPr>
            <w:fldChar w:fldCharType="separate"/>
          </w:r>
        </w:p>
        <w:p>
          <w:pPr>
            <w:pStyle w:val="8"/>
            <w:tabs>
              <w:tab w:val="right" w:leader="dot" w:pos="8306"/>
            </w:tabs>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HYPERLINK \l _Toc4963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一、 电动自行车行业概况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_Toc4963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_Toc24785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（一）国内电动自行车行业概况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_Toc24785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_Toc23669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（二）深圳市电动自行车行业概况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_Toc23669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8"/>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HYPERLINK \l _Toc9395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二、市场监督情况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_Toc9395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_Toc9646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（一）监督抽查情况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_Toc9646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_Toc13325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）深圳市电动自行车快检情况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_Toc13325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8"/>
            <w:tabs>
              <w:tab w:val="right" w:leader="dot" w:pos="8306"/>
            </w:tabs>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HYPERLINK \l _Toc14763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三、电动自行车产品不合格项目分析</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_Toc14763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_Toc10381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（一）不合格项目分析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_Toc10381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_Toc26337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（二）深圳市监督抽查主要不合格项目统计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_Toc26337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8"/>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HYPERLINK \l _Toc11368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四、福田区电动自行车企业帮扶情况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_Toc11368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9</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_Toc13818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（一）基本情况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_Toc13818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_Toc14274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（二）核查情况分析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_Toc14274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_Toc575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（三）不符合项目分析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_Toc15580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bCs/>
              <w:sz w:val="28"/>
              <w:szCs w:val="28"/>
              <w:highlight w:val="none"/>
              <w:lang w:val="en-US" w:eastAsia="zh-CN"/>
            </w:rPr>
            <w:t>四</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bCs/>
              <w:sz w:val="28"/>
              <w:szCs w:val="28"/>
              <w:highlight w:val="none"/>
              <w:lang w:val="en-US" w:eastAsia="zh-CN"/>
            </w:rPr>
            <w:t>开展电动自行车质量提升培训会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_Toc15580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_Toc4651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rPr>
            <w:t>（</w:t>
          </w:r>
          <w:r>
            <w:rPr>
              <w:rFonts w:hint="eastAsia" w:ascii="仿宋_GB2312" w:hAnsi="仿宋_GB2312" w:eastAsia="仿宋_GB2312" w:cs="仿宋_GB2312"/>
              <w:bCs/>
              <w:sz w:val="28"/>
              <w:szCs w:val="28"/>
              <w:lang w:val="en-US" w:eastAsia="zh-CN"/>
            </w:rPr>
            <w:t>五</w:t>
          </w:r>
          <w:r>
            <w:rPr>
              <w:rFonts w:hint="eastAsia" w:ascii="仿宋_GB2312" w:hAnsi="仿宋_GB2312" w:eastAsia="仿宋_GB2312" w:cs="仿宋_GB2312"/>
              <w:bCs/>
              <w:sz w:val="28"/>
              <w:szCs w:val="28"/>
            </w:rPr>
            <w:t>）质量提升措施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_Toc4651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8"/>
            <w:tabs>
              <w:tab w:val="right" w:leader="dot" w:pos="8306"/>
            </w:tabs>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HYPERLINK \l _Toc6901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五、总结及建议</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_Toc6901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17</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pPr>
            <w:pStyle w:val="8"/>
            <w:tabs>
              <w:tab w:val="right" w:leader="dot" w:pos="8306"/>
            </w:tabs>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fldChar w:fldCharType="end"/>
          </w:r>
        </w:p>
      </w:sdtContent>
    </w:sdt>
    <w:p>
      <w:pPr>
        <w:spacing w:line="600" w:lineRule="exact"/>
        <w:jc w:val="center"/>
        <w:rPr>
          <w:rFonts w:ascii="黑体" w:hAnsi="黑体" w:eastAsia="黑体"/>
          <w:sz w:val="32"/>
          <w:szCs w:val="36"/>
        </w:rPr>
        <w:sectPr>
          <w:footerReference r:id="rId7" w:type="default"/>
          <w:pgSz w:w="11906" w:h="16838"/>
          <w:pgMar w:top="1440" w:right="1800" w:bottom="1440" w:left="1800" w:header="851" w:footer="992" w:gutter="0"/>
          <w:pgNumType w:start="1"/>
          <w:cols w:space="425" w:num="1"/>
          <w:docGrid w:type="lines" w:linePitch="312" w:charSpace="0"/>
        </w:sectPr>
      </w:pPr>
    </w:p>
    <w:p>
      <w:pPr>
        <w:spacing w:line="600" w:lineRule="exact"/>
        <w:jc w:val="center"/>
        <w:outlineLvl w:val="9"/>
        <w:rPr>
          <w:rFonts w:ascii="华文中宋" w:hAnsi="华文中宋" w:eastAsia="华文中宋" w:cs="Times New Roman"/>
          <w:b/>
          <w:sz w:val="44"/>
          <w:szCs w:val="44"/>
        </w:rPr>
      </w:pPr>
      <w:bookmarkStart w:id="5" w:name="_Toc23098"/>
      <w:bookmarkStart w:id="6" w:name="_Toc18138"/>
      <w:bookmarkStart w:id="7" w:name="_Toc28564"/>
      <w:bookmarkStart w:id="8" w:name="_Toc27724"/>
      <w:r>
        <w:rPr>
          <w:rFonts w:hint="eastAsia" w:ascii="华文中宋" w:hAnsi="华文中宋" w:eastAsia="华文中宋" w:cs="Times New Roman"/>
          <w:b/>
          <w:sz w:val="44"/>
          <w:szCs w:val="44"/>
        </w:rPr>
        <w:t>2022年福田区电动自行车产品</w:t>
      </w:r>
      <w:bookmarkEnd w:id="5"/>
      <w:bookmarkEnd w:id="6"/>
      <w:bookmarkEnd w:id="7"/>
      <w:bookmarkEnd w:id="8"/>
    </w:p>
    <w:p>
      <w:pPr>
        <w:spacing w:line="600" w:lineRule="exact"/>
        <w:jc w:val="center"/>
        <w:rPr>
          <w:rFonts w:ascii="华文中宋" w:hAnsi="华文中宋" w:eastAsia="华文中宋" w:cs="Times New Roman"/>
          <w:b/>
          <w:sz w:val="44"/>
          <w:szCs w:val="44"/>
        </w:rPr>
      </w:pPr>
      <w:r>
        <w:rPr>
          <w:rFonts w:hint="eastAsia" w:ascii="华文中宋" w:hAnsi="华文中宋" w:eastAsia="华文中宋" w:cs="Times New Roman"/>
          <w:b/>
          <w:sz w:val="44"/>
          <w:szCs w:val="44"/>
        </w:rPr>
        <w:t>质量监测分析报告</w:t>
      </w:r>
    </w:p>
    <w:p>
      <w:pPr>
        <w:tabs>
          <w:tab w:val="left" w:pos="1888"/>
        </w:tabs>
        <w:jc w:val="center"/>
        <w:rPr>
          <w:rFonts w:ascii="仿宋_GB2312" w:hAnsi="仿宋_GB2312" w:eastAsia="仿宋_GB2312" w:cs="仿宋_GB2312"/>
          <w:sz w:val="32"/>
          <w:szCs w:val="32"/>
        </w:rPr>
      </w:pPr>
    </w:p>
    <w:p>
      <w:pPr>
        <w:numPr>
          <w:ilvl w:val="0"/>
          <w:numId w:val="2"/>
        </w:numPr>
        <w:tabs>
          <w:tab w:val="left" w:pos="1888"/>
        </w:tabs>
        <w:jc w:val="left"/>
        <w:outlineLvl w:val="0"/>
        <w:rPr>
          <w:rFonts w:ascii="黑体" w:hAnsi="黑体" w:eastAsia="黑体" w:cs="黑体"/>
          <w:sz w:val="32"/>
          <w:szCs w:val="32"/>
        </w:rPr>
      </w:pPr>
      <w:bookmarkStart w:id="9" w:name="_Toc2031"/>
      <w:bookmarkStart w:id="10" w:name="_Toc20520"/>
      <w:bookmarkStart w:id="11" w:name="_Toc5777"/>
      <w:bookmarkStart w:id="12" w:name="_Toc5433"/>
      <w:bookmarkStart w:id="13" w:name="_Toc4963"/>
      <w:bookmarkStart w:id="14" w:name="_Toc32424"/>
      <w:bookmarkStart w:id="15" w:name="_Toc21659"/>
      <w:r>
        <w:rPr>
          <w:rFonts w:hint="eastAsia" w:ascii="黑体" w:hAnsi="黑体" w:eastAsia="黑体" w:cs="黑体"/>
          <w:sz w:val="32"/>
          <w:szCs w:val="32"/>
        </w:rPr>
        <w:t>电动自行车行业概况</w:t>
      </w:r>
      <w:bookmarkEnd w:id="9"/>
      <w:bookmarkEnd w:id="10"/>
      <w:bookmarkEnd w:id="11"/>
      <w:bookmarkEnd w:id="12"/>
      <w:bookmarkEnd w:id="13"/>
      <w:bookmarkEnd w:id="14"/>
      <w:bookmarkEnd w:id="15"/>
    </w:p>
    <w:p>
      <w:pPr>
        <w:pStyle w:val="26"/>
        <w:numPr>
          <w:ilvl w:val="255"/>
          <w:numId w:val="0"/>
        </w:numPr>
        <w:jc w:val="left"/>
        <w:outlineLvl w:val="1"/>
        <w:rPr>
          <w:rFonts w:ascii="仿宋_GB2312" w:hAnsi="仿宋_GB2312" w:eastAsia="仿宋_GB2312" w:cs="仿宋_GB2312"/>
          <w:b/>
          <w:bCs/>
          <w:sz w:val="32"/>
          <w:szCs w:val="32"/>
        </w:rPr>
      </w:pPr>
      <w:bookmarkStart w:id="16" w:name="_Toc1787"/>
      <w:bookmarkStart w:id="17" w:name="_Toc7543"/>
      <w:bookmarkStart w:id="18" w:name="_Toc7529"/>
      <w:bookmarkStart w:id="19" w:name="_Toc24785"/>
      <w:bookmarkStart w:id="20" w:name="_Toc3762"/>
      <w:bookmarkStart w:id="21" w:name="_Toc22939"/>
      <w:bookmarkStart w:id="22" w:name="_Toc25619"/>
      <w:r>
        <w:rPr>
          <w:rFonts w:hint="eastAsia" w:ascii="仿宋_GB2312" w:hAnsi="仿宋_GB2312" w:eastAsia="仿宋_GB2312" w:cs="仿宋_GB2312"/>
          <w:b/>
          <w:bCs/>
          <w:sz w:val="32"/>
          <w:szCs w:val="32"/>
        </w:rPr>
        <w:t>（一）国内电动自行车行业概况</w:t>
      </w:r>
      <w:bookmarkEnd w:id="16"/>
      <w:bookmarkEnd w:id="17"/>
      <w:bookmarkEnd w:id="18"/>
      <w:bookmarkEnd w:id="19"/>
      <w:bookmarkEnd w:id="20"/>
      <w:bookmarkEnd w:id="21"/>
      <w:bookmarkEnd w:id="22"/>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电动自行车是以蓄电池作为辅助能源，具有双车轮，能实现人力骑行、电动或电助动功能的特种自行车。通俗是指以蓄电池作为辅助能源在普通自行车基础上，安装电机、控制器、蓄电池、转把、闸把等操纵部件和显示仪表系统的机电一体化短途交通工具。自2019年实施新国标以来，在新国标及CCC认证制度引领下，电动自行车产品质量有了较大提升，产量和市场需求量均出现小幅攀升，电动自行车行业的发展呈现区域集中化、规模化发展趋势。</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过不断发展，中国电动自行车行业已经发展成产业链结构完善，市场化程度较高的产业。中国电动自行车产量连续四年保持增长。根据国家统计局数据：2021年电动自行车产量为3590.3万辆，创2015年以来最高值，同比增长21.0%。生产企业主要集中在天津、浙江、广东、江苏等省市，其中天津、浙江、江苏三地成为我国电动自行车的主要生产区，并形成了集物流、配套、研发、制造为基础的三大辐射中心，产业聚集优势明显。</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spacing w:line="600" w:lineRule="exact"/>
        <w:jc w:val="center"/>
        <w:rPr>
          <w:rFonts w:ascii="仿宋_GB2312" w:hAnsi="仿宋_GB2312" w:eastAsia="仿宋_GB2312" w:cs="仿宋_GB2312"/>
          <w:sz w:val="32"/>
          <w:szCs w:val="32"/>
        </w:rPr>
      </w:pPr>
      <w:r>
        <w:rPr>
          <w:rFonts w:hint="eastAsia" w:ascii="仿宋_GB2312" w:hAnsi="仿宋_GB2312" w:eastAsia="仿宋_GB2312" w:cs="仿宋_GB2312"/>
          <w:sz w:val="28"/>
          <w:szCs w:val="28"/>
        </w:rPr>
        <w:t>表1.2021年电动自行车年产量百万辆以上的产地</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780"/>
        <w:gridCol w:w="980"/>
        <w:gridCol w:w="1860"/>
        <w:gridCol w:w="1155"/>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0" w:type="dxa"/>
          </w:tcPr>
          <w:p>
            <w:pPr>
              <w:spacing w:line="600" w:lineRule="exact"/>
              <w:jc w:val="center"/>
              <w:rPr>
                <w:rFonts w:ascii="仿宋" w:hAnsi="仿宋" w:eastAsia="仿宋" w:cs="仿宋"/>
                <w:b/>
                <w:bCs/>
                <w:sz w:val="24"/>
              </w:rPr>
            </w:pPr>
            <w:r>
              <w:rPr>
                <w:rFonts w:hint="eastAsia" w:ascii="仿宋" w:hAnsi="仿宋" w:eastAsia="仿宋" w:cs="仿宋"/>
                <w:b/>
                <w:bCs/>
                <w:sz w:val="24"/>
              </w:rPr>
              <w:t>产地</w:t>
            </w:r>
          </w:p>
        </w:tc>
        <w:tc>
          <w:tcPr>
            <w:tcW w:w="1780" w:type="dxa"/>
          </w:tcPr>
          <w:p>
            <w:pPr>
              <w:spacing w:line="600" w:lineRule="exact"/>
              <w:jc w:val="center"/>
              <w:rPr>
                <w:rFonts w:ascii="仿宋" w:hAnsi="仿宋" w:eastAsia="仿宋" w:cs="仿宋"/>
                <w:b/>
                <w:bCs/>
                <w:sz w:val="24"/>
              </w:rPr>
            </w:pPr>
            <w:r>
              <w:rPr>
                <w:rFonts w:hint="eastAsia" w:ascii="仿宋" w:hAnsi="仿宋" w:eastAsia="仿宋" w:cs="仿宋"/>
                <w:b/>
                <w:bCs/>
                <w:sz w:val="24"/>
              </w:rPr>
              <w:t>产量/万辆</w:t>
            </w:r>
          </w:p>
        </w:tc>
        <w:tc>
          <w:tcPr>
            <w:tcW w:w="980" w:type="dxa"/>
          </w:tcPr>
          <w:p>
            <w:pPr>
              <w:spacing w:line="600" w:lineRule="exact"/>
              <w:jc w:val="center"/>
              <w:rPr>
                <w:rFonts w:ascii="仿宋" w:hAnsi="仿宋" w:eastAsia="仿宋" w:cs="仿宋"/>
                <w:b/>
                <w:bCs/>
                <w:sz w:val="24"/>
              </w:rPr>
            </w:pPr>
            <w:r>
              <w:rPr>
                <w:rFonts w:hint="eastAsia" w:ascii="仿宋" w:hAnsi="仿宋" w:eastAsia="仿宋" w:cs="仿宋"/>
                <w:b/>
                <w:bCs/>
                <w:sz w:val="24"/>
              </w:rPr>
              <w:t>产地</w:t>
            </w:r>
          </w:p>
        </w:tc>
        <w:tc>
          <w:tcPr>
            <w:tcW w:w="1860" w:type="dxa"/>
          </w:tcPr>
          <w:p>
            <w:pPr>
              <w:spacing w:line="600" w:lineRule="exact"/>
              <w:jc w:val="center"/>
              <w:rPr>
                <w:rFonts w:ascii="仿宋" w:hAnsi="仿宋" w:eastAsia="仿宋" w:cs="仿宋"/>
                <w:b/>
                <w:bCs/>
                <w:sz w:val="24"/>
              </w:rPr>
            </w:pPr>
            <w:r>
              <w:rPr>
                <w:rFonts w:hint="eastAsia" w:ascii="仿宋" w:hAnsi="仿宋" w:eastAsia="仿宋" w:cs="仿宋"/>
                <w:b/>
                <w:bCs/>
                <w:sz w:val="24"/>
              </w:rPr>
              <w:t>产量/万辆</w:t>
            </w:r>
          </w:p>
        </w:tc>
        <w:tc>
          <w:tcPr>
            <w:tcW w:w="1155" w:type="dxa"/>
          </w:tcPr>
          <w:p>
            <w:pPr>
              <w:spacing w:line="600" w:lineRule="exact"/>
              <w:jc w:val="center"/>
              <w:rPr>
                <w:rFonts w:ascii="仿宋" w:hAnsi="仿宋" w:eastAsia="仿宋" w:cs="仿宋"/>
                <w:b/>
                <w:bCs/>
                <w:sz w:val="24"/>
              </w:rPr>
            </w:pPr>
            <w:r>
              <w:rPr>
                <w:rFonts w:hint="eastAsia" w:ascii="仿宋" w:hAnsi="仿宋" w:eastAsia="仿宋" w:cs="仿宋"/>
                <w:b/>
                <w:bCs/>
                <w:sz w:val="24"/>
              </w:rPr>
              <w:t>产地</w:t>
            </w:r>
          </w:p>
        </w:tc>
        <w:tc>
          <w:tcPr>
            <w:tcW w:w="1687" w:type="dxa"/>
          </w:tcPr>
          <w:p>
            <w:pPr>
              <w:spacing w:line="600" w:lineRule="exact"/>
              <w:jc w:val="center"/>
              <w:rPr>
                <w:rFonts w:ascii="仿宋" w:hAnsi="仿宋" w:eastAsia="仿宋" w:cs="仿宋"/>
                <w:b/>
                <w:bCs/>
                <w:sz w:val="24"/>
              </w:rPr>
            </w:pPr>
            <w:r>
              <w:rPr>
                <w:rFonts w:hint="eastAsia" w:ascii="仿宋" w:hAnsi="仿宋" w:eastAsia="仿宋" w:cs="仿宋"/>
                <w:b/>
                <w:bCs/>
                <w:sz w:val="24"/>
              </w:rPr>
              <w:t>产量/万辆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0" w:type="dxa"/>
          </w:tcPr>
          <w:p>
            <w:pPr>
              <w:spacing w:line="600" w:lineRule="exact"/>
              <w:jc w:val="center"/>
              <w:rPr>
                <w:rFonts w:ascii="仿宋" w:hAnsi="仿宋" w:eastAsia="仿宋" w:cs="仿宋"/>
                <w:sz w:val="24"/>
              </w:rPr>
            </w:pPr>
            <w:r>
              <w:rPr>
                <w:rFonts w:hint="eastAsia" w:ascii="仿宋" w:hAnsi="仿宋" w:eastAsia="仿宋" w:cs="仿宋"/>
                <w:sz w:val="24"/>
              </w:rPr>
              <w:t>天津</w:t>
            </w:r>
          </w:p>
        </w:tc>
        <w:tc>
          <w:tcPr>
            <w:tcW w:w="1780" w:type="dxa"/>
          </w:tcPr>
          <w:p>
            <w:pPr>
              <w:spacing w:line="600" w:lineRule="exact"/>
              <w:jc w:val="center"/>
              <w:rPr>
                <w:rFonts w:ascii="仿宋" w:hAnsi="仿宋" w:eastAsia="仿宋" w:cs="仿宋"/>
                <w:sz w:val="24"/>
              </w:rPr>
            </w:pPr>
            <w:r>
              <w:rPr>
                <w:rFonts w:hint="eastAsia" w:ascii="仿宋" w:hAnsi="仿宋" w:eastAsia="仿宋" w:cs="仿宋"/>
                <w:sz w:val="24"/>
              </w:rPr>
              <w:t>1493.9</w:t>
            </w:r>
          </w:p>
        </w:tc>
        <w:tc>
          <w:tcPr>
            <w:tcW w:w="980" w:type="dxa"/>
          </w:tcPr>
          <w:p>
            <w:pPr>
              <w:spacing w:line="600" w:lineRule="exact"/>
              <w:jc w:val="center"/>
              <w:rPr>
                <w:rFonts w:ascii="仿宋" w:hAnsi="仿宋" w:eastAsia="仿宋" w:cs="仿宋"/>
                <w:sz w:val="24"/>
              </w:rPr>
            </w:pPr>
            <w:r>
              <w:rPr>
                <w:rFonts w:hint="eastAsia" w:ascii="仿宋" w:hAnsi="仿宋" w:eastAsia="仿宋" w:cs="仿宋"/>
                <w:sz w:val="24"/>
              </w:rPr>
              <w:t>浙江</w:t>
            </w:r>
          </w:p>
        </w:tc>
        <w:tc>
          <w:tcPr>
            <w:tcW w:w="1860" w:type="dxa"/>
          </w:tcPr>
          <w:p>
            <w:pPr>
              <w:spacing w:line="600" w:lineRule="exact"/>
              <w:jc w:val="center"/>
              <w:rPr>
                <w:rFonts w:ascii="仿宋" w:hAnsi="仿宋" w:eastAsia="仿宋" w:cs="仿宋"/>
                <w:sz w:val="24"/>
              </w:rPr>
            </w:pPr>
            <w:r>
              <w:rPr>
                <w:rFonts w:hint="eastAsia" w:ascii="仿宋" w:hAnsi="仿宋" w:eastAsia="仿宋" w:cs="仿宋"/>
                <w:sz w:val="24"/>
              </w:rPr>
              <w:t>628.8</w:t>
            </w:r>
          </w:p>
        </w:tc>
        <w:tc>
          <w:tcPr>
            <w:tcW w:w="1155" w:type="dxa"/>
          </w:tcPr>
          <w:p>
            <w:pPr>
              <w:spacing w:line="600" w:lineRule="exact"/>
              <w:jc w:val="center"/>
              <w:rPr>
                <w:rFonts w:ascii="仿宋" w:hAnsi="仿宋" w:eastAsia="仿宋" w:cs="仿宋"/>
                <w:sz w:val="24"/>
              </w:rPr>
            </w:pPr>
            <w:r>
              <w:rPr>
                <w:rFonts w:hint="eastAsia" w:ascii="仿宋" w:hAnsi="仿宋" w:eastAsia="仿宋" w:cs="仿宋"/>
                <w:sz w:val="24"/>
              </w:rPr>
              <w:t>广东</w:t>
            </w:r>
          </w:p>
        </w:tc>
        <w:tc>
          <w:tcPr>
            <w:tcW w:w="1687" w:type="dxa"/>
          </w:tcPr>
          <w:p>
            <w:pPr>
              <w:spacing w:line="600" w:lineRule="exact"/>
              <w:jc w:val="center"/>
              <w:rPr>
                <w:rFonts w:ascii="仿宋" w:hAnsi="仿宋" w:eastAsia="仿宋" w:cs="仿宋"/>
                <w:sz w:val="24"/>
              </w:rPr>
            </w:pPr>
            <w:r>
              <w:rPr>
                <w:rFonts w:hint="eastAsia" w:ascii="仿宋" w:hAnsi="仿宋" w:eastAsia="仿宋" w:cs="仿宋"/>
                <w:sz w:val="24"/>
              </w:rPr>
              <w:t>483.3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0" w:type="dxa"/>
          </w:tcPr>
          <w:p>
            <w:pPr>
              <w:spacing w:line="600" w:lineRule="exact"/>
              <w:jc w:val="center"/>
              <w:rPr>
                <w:rFonts w:ascii="仿宋" w:hAnsi="仿宋" w:eastAsia="仿宋" w:cs="仿宋"/>
                <w:sz w:val="24"/>
              </w:rPr>
            </w:pPr>
            <w:r>
              <w:rPr>
                <w:rFonts w:hint="eastAsia" w:ascii="仿宋" w:hAnsi="仿宋" w:eastAsia="仿宋" w:cs="仿宋"/>
                <w:sz w:val="24"/>
              </w:rPr>
              <w:t>江苏</w:t>
            </w:r>
          </w:p>
        </w:tc>
        <w:tc>
          <w:tcPr>
            <w:tcW w:w="1780" w:type="dxa"/>
          </w:tcPr>
          <w:p>
            <w:pPr>
              <w:spacing w:line="600" w:lineRule="exact"/>
              <w:jc w:val="center"/>
              <w:rPr>
                <w:rFonts w:ascii="仿宋" w:hAnsi="仿宋" w:eastAsia="仿宋" w:cs="仿宋"/>
                <w:sz w:val="24"/>
              </w:rPr>
            </w:pPr>
            <w:r>
              <w:rPr>
                <w:rFonts w:hint="eastAsia" w:ascii="仿宋" w:hAnsi="仿宋" w:eastAsia="仿宋" w:cs="仿宋"/>
                <w:sz w:val="24"/>
              </w:rPr>
              <w:t>416.6</w:t>
            </w:r>
          </w:p>
        </w:tc>
        <w:tc>
          <w:tcPr>
            <w:tcW w:w="980" w:type="dxa"/>
          </w:tcPr>
          <w:p>
            <w:pPr>
              <w:spacing w:line="600" w:lineRule="exact"/>
              <w:jc w:val="center"/>
              <w:rPr>
                <w:rFonts w:ascii="仿宋" w:hAnsi="仿宋" w:eastAsia="仿宋" w:cs="仿宋"/>
                <w:sz w:val="24"/>
              </w:rPr>
            </w:pPr>
            <w:r>
              <w:rPr>
                <w:rFonts w:hint="eastAsia" w:ascii="仿宋" w:hAnsi="仿宋" w:eastAsia="仿宋" w:cs="仿宋"/>
                <w:sz w:val="24"/>
              </w:rPr>
              <w:t>河南</w:t>
            </w:r>
          </w:p>
        </w:tc>
        <w:tc>
          <w:tcPr>
            <w:tcW w:w="1860" w:type="dxa"/>
          </w:tcPr>
          <w:p>
            <w:pPr>
              <w:spacing w:line="600" w:lineRule="exact"/>
              <w:jc w:val="center"/>
              <w:rPr>
                <w:rFonts w:ascii="仿宋" w:hAnsi="仿宋" w:eastAsia="仿宋" w:cs="仿宋"/>
                <w:sz w:val="24"/>
              </w:rPr>
            </w:pPr>
            <w:r>
              <w:rPr>
                <w:rFonts w:hint="eastAsia" w:ascii="仿宋" w:hAnsi="仿宋" w:eastAsia="仿宋" w:cs="仿宋"/>
                <w:sz w:val="24"/>
              </w:rPr>
              <w:t>163.5</w:t>
            </w:r>
          </w:p>
        </w:tc>
        <w:tc>
          <w:tcPr>
            <w:tcW w:w="1155" w:type="dxa"/>
          </w:tcPr>
          <w:p>
            <w:pPr>
              <w:spacing w:line="600" w:lineRule="exact"/>
              <w:jc w:val="center"/>
              <w:rPr>
                <w:rFonts w:ascii="仿宋" w:hAnsi="仿宋" w:eastAsia="仿宋" w:cs="仿宋"/>
                <w:sz w:val="24"/>
              </w:rPr>
            </w:pPr>
            <w:r>
              <w:rPr>
                <w:rFonts w:hint="eastAsia" w:ascii="仿宋" w:hAnsi="仿宋" w:eastAsia="仿宋" w:cs="仿宋"/>
                <w:sz w:val="24"/>
              </w:rPr>
              <w:t>广西</w:t>
            </w:r>
          </w:p>
        </w:tc>
        <w:tc>
          <w:tcPr>
            <w:tcW w:w="1687" w:type="dxa"/>
          </w:tcPr>
          <w:p>
            <w:pPr>
              <w:spacing w:line="600" w:lineRule="exact"/>
              <w:jc w:val="center"/>
              <w:rPr>
                <w:rFonts w:ascii="仿宋" w:hAnsi="仿宋" w:eastAsia="仿宋" w:cs="仿宋"/>
                <w:sz w:val="24"/>
              </w:rPr>
            </w:pPr>
            <w:r>
              <w:rPr>
                <w:rFonts w:hint="eastAsia" w:ascii="仿宋" w:hAnsi="仿宋" w:eastAsia="仿宋" w:cs="仿宋"/>
                <w:sz w:val="24"/>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0" w:type="dxa"/>
          </w:tcPr>
          <w:p>
            <w:pPr>
              <w:spacing w:line="600" w:lineRule="exact"/>
              <w:jc w:val="center"/>
              <w:rPr>
                <w:rFonts w:ascii="仿宋" w:hAnsi="仿宋" w:eastAsia="仿宋" w:cs="仿宋"/>
                <w:sz w:val="24"/>
              </w:rPr>
            </w:pPr>
            <w:r>
              <w:rPr>
                <w:rFonts w:hint="eastAsia" w:ascii="仿宋" w:hAnsi="仿宋" w:eastAsia="仿宋" w:cs="仿宋"/>
                <w:sz w:val="24"/>
              </w:rPr>
              <w:t>四川</w:t>
            </w:r>
          </w:p>
        </w:tc>
        <w:tc>
          <w:tcPr>
            <w:tcW w:w="1780" w:type="dxa"/>
          </w:tcPr>
          <w:p>
            <w:pPr>
              <w:spacing w:line="600" w:lineRule="exact"/>
              <w:jc w:val="center"/>
              <w:rPr>
                <w:rFonts w:ascii="仿宋" w:hAnsi="仿宋" w:eastAsia="仿宋" w:cs="仿宋"/>
                <w:sz w:val="24"/>
              </w:rPr>
            </w:pPr>
            <w:r>
              <w:rPr>
                <w:rFonts w:hint="eastAsia" w:ascii="仿宋" w:hAnsi="仿宋" w:eastAsia="仿宋" w:cs="仿宋"/>
                <w:sz w:val="24"/>
              </w:rPr>
              <w:t>100.5</w:t>
            </w:r>
          </w:p>
        </w:tc>
        <w:tc>
          <w:tcPr>
            <w:tcW w:w="980" w:type="dxa"/>
          </w:tcPr>
          <w:p>
            <w:pPr>
              <w:spacing w:line="600" w:lineRule="exact"/>
              <w:jc w:val="center"/>
              <w:rPr>
                <w:rFonts w:ascii="仿宋" w:hAnsi="仿宋" w:eastAsia="仿宋" w:cs="仿宋"/>
                <w:sz w:val="24"/>
              </w:rPr>
            </w:pPr>
            <w:r>
              <w:rPr>
                <w:rFonts w:hint="eastAsia" w:ascii="仿宋" w:hAnsi="仿宋" w:eastAsia="仿宋" w:cs="仿宋"/>
                <w:sz w:val="24"/>
              </w:rPr>
              <w:t>全国</w:t>
            </w:r>
          </w:p>
        </w:tc>
        <w:tc>
          <w:tcPr>
            <w:tcW w:w="4702" w:type="dxa"/>
            <w:gridSpan w:val="3"/>
          </w:tcPr>
          <w:p>
            <w:pPr>
              <w:spacing w:line="600" w:lineRule="exact"/>
              <w:jc w:val="center"/>
              <w:rPr>
                <w:rFonts w:ascii="仿宋" w:hAnsi="仿宋" w:eastAsia="仿宋" w:cs="仿宋"/>
                <w:sz w:val="24"/>
              </w:rPr>
            </w:pPr>
            <w:r>
              <w:rPr>
                <w:rFonts w:hint="eastAsia" w:ascii="仿宋" w:hAnsi="仿宋" w:eastAsia="仿宋" w:cs="仿宋"/>
                <w:sz w:val="24"/>
              </w:rPr>
              <w:t>3590.3</w:t>
            </w:r>
          </w:p>
        </w:tc>
      </w:tr>
    </w:tbl>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同时，近几年全国电动自行车市场保有量也在以每年近3000万辆的速度递增，2021年全国电动自行车保有量达3.5亿辆，其中深圳市保有量接近400万辆。</w:t>
      </w:r>
    </w:p>
    <w:p>
      <w:pPr>
        <w:pStyle w:val="26"/>
        <w:numPr>
          <w:ilvl w:val="255"/>
          <w:numId w:val="0"/>
        </w:numPr>
        <w:jc w:val="left"/>
        <w:outlineLvl w:val="1"/>
        <w:rPr>
          <w:rFonts w:ascii="仿宋_GB2312" w:hAnsi="仿宋_GB2312" w:eastAsia="仿宋_GB2312" w:cs="仿宋_GB2312"/>
          <w:b/>
          <w:bCs/>
          <w:sz w:val="32"/>
          <w:szCs w:val="32"/>
        </w:rPr>
      </w:pPr>
      <w:bookmarkStart w:id="23" w:name="_Toc7151"/>
      <w:bookmarkStart w:id="24" w:name="_Toc23807"/>
      <w:bookmarkStart w:id="25" w:name="_Toc1212"/>
      <w:bookmarkStart w:id="26" w:name="_Toc10129"/>
      <w:bookmarkStart w:id="27" w:name="_Toc1950"/>
      <w:bookmarkStart w:id="28" w:name="_Toc23669"/>
      <w:bookmarkStart w:id="29" w:name="_Toc21101"/>
      <w:r>
        <w:rPr>
          <w:rFonts w:hint="eastAsia" w:ascii="仿宋_GB2312" w:hAnsi="仿宋_GB2312" w:eastAsia="仿宋_GB2312" w:cs="仿宋_GB2312"/>
          <w:b/>
          <w:bCs/>
          <w:sz w:val="32"/>
          <w:szCs w:val="32"/>
        </w:rPr>
        <w:t>（二）深圳市电动自行车行业概况</w:t>
      </w:r>
      <w:bookmarkEnd w:id="23"/>
      <w:bookmarkEnd w:id="24"/>
      <w:bookmarkEnd w:id="25"/>
      <w:bookmarkEnd w:id="26"/>
      <w:bookmarkEnd w:id="27"/>
      <w:bookmarkEnd w:id="28"/>
      <w:bookmarkEnd w:id="29"/>
    </w:p>
    <w:p>
      <w:pPr>
        <w:tabs>
          <w:tab w:val="left" w:pos="1888"/>
        </w:tabs>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深圳曾经是广东省电动自行车的生产集聚地，电动自行车产业链非常完善，辉煌时期电动自行车生产企业多达100余家。近年来，由于企业受厂房租金压力、原材料价格上涨、人工待遇等因素影响，绝大多数电动自行车生产企业搬离深圳。截至2022年6月，深圳电动自行车产品获得</w:t>
      </w:r>
      <w:r>
        <w:rPr>
          <w:rFonts w:hint="eastAsia" w:ascii="仿宋_GB2312" w:hAnsi="仿宋_GB2312" w:eastAsia="仿宋_GB2312" w:cs="仿宋_GB2312"/>
          <w:sz w:val="32"/>
          <w:szCs w:val="32"/>
          <w:lang w:val="en-US" w:eastAsia="zh-CN"/>
        </w:rPr>
        <w:t>CC</w:t>
      </w:r>
      <w:r>
        <w:rPr>
          <w:rFonts w:hint="eastAsia" w:ascii="仿宋_GB2312" w:hAnsi="仿宋_GB2312" w:eastAsia="仿宋_GB2312" w:cs="仿宋_GB2312"/>
          <w:sz w:val="32"/>
          <w:szCs w:val="32"/>
        </w:rPr>
        <w:t>C认证企业仅剩4家，且企业注册地址均不在福田区。生产规模较大的电动自行车企业只有深圳市喜德盛自行车股份有限公司1家，其余3家均为小型企业，年总产量约20万辆左右，其中锂离子蓄电池电动自行车产量占90%左右。该产品销售渠道主要以省内实体店及线上平台销售为主。</w:t>
      </w:r>
    </w:p>
    <w:p>
      <w:pPr>
        <w:tabs>
          <w:tab w:val="left" w:pos="1888"/>
        </w:tabs>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虽然深圳市生产领域电动自行车企业数量萎缩，但在流通领域仍有近2000家销售门店，其销售的电动自行车主要以台铃、爱玛、雅迪、小牛等大品牌为主。从近几年监管部门开展的电动自行车执法抽检、监督抽查等结果看，电动自行车不合格发现率较高，产品质量不容乐观。</w:t>
      </w:r>
    </w:p>
    <w:p>
      <w:pPr>
        <w:tabs>
          <w:tab w:val="left" w:pos="1888"/>
        </w:tabs>
        <w:jc w:val="left"/>
        <w:outlineLvl w:val="0"/>
        <w:rPr>
          <w:rFonts w:ascii="黑体" w:hAnsi="黑体" w:eastAsia="黑体" w:cs="黑体"/>
          <w:sz w:val="32"/>
          <w:szCs w:val="32"/>
        </w:rPr>
      </w:pPr>
      <w:bookmarkStart w:id="30" w:name="_Toc29652"/>
      <w:bookmarkStart w:id="31" w:name="_Toc301"/>
      <w:bookmarkStart w:id="32" w:name="_Toc7231"/>
      <w:bookmarkStart w:id="33" w:name="_Toc5066"/>
      <w:bookmarkStart w:id="34" w:name="_Toc9395"/>
      <w:bookmarkStart w:id="35" w:name="_Toc3263"/>
      <w:bookmarkStart w:id="36" w:name="_Toc2447"/>
      <w:r>
        <w:rPr>
          <w:rFonts w:hint="eastAsia" w:ascii="黑体" w:hAnsi="黑体" w:eastAsia="黑体" w:cs="黑体"/>
          <w:sz w:val="32"/>
          <w:szCs w:val="32"/>
        </w:rPr>
        <w:t>二、市场监督情况</w:t>
      </w:r>
      <w:bookmarkEnd w:id="30"/>
      <w:bookmarkEnd w:id="31"/>
      <w:bookmarkEnd w:id="32"/>
      <w:bookmarkEnd w:id="33"/>
      <w:bookmarkEnd w:id="34"/>
      <w:bookmarkEnd w:id="35"/>
      <w:bookmarkEnd w:id="36"/>
    </w:p>
    <w:p>
      <w:pPr>
        <w:pStyle w:val="26"/>
        <w:numPr>
          <w:ilvl w:val="255"/>
          <w:numId w:val="0"/>
        </w:numPr>
        <w:jc w:val="left"/>
        <w:outlineLvl w:val="1"/>
        <w:rPr>
          <w:rFonts w:ascii="仿宋_GB2312" w:hAnsi="仿宋_GB2312" w:eastAsia="仿宋_GB2312" w:cs="仿宋_GB2312"/>
          <w:b/>
          <w:bCs/>
          <w:sz w:val="32"/>
          <w:szCs w:val="32"/>
        </w:rPr>
      </w:pPr>
      <w:bookmarkStart w:id="37" w:name="_Toc14466"/>
      <w:bookmarkStart w:id="38" w:name="_Toc17949"/>
      <w:bookmarkStart w:id="39" w:name="_Toc25244"/>
      <w:bookmarkStart w:id="40" w:name="_Toc9646"/>
      <w:bookmarkStart w:id="41" w:name="_Toc26777"/>
      <w:bookmarkStart w:id="42" w:name="_Toc26596"/>
      <w:bookmarkStart w:id="43" w:name="_Toc12650"/>
      <w:r>
        <w:rPr>
          <w:rFonts w:hint="eastAsia" w:ascii="仿宋_GB2312" w:hAnsi="仿宋_GB2312" w:eastAsia="仿宋_GB2312" w:cs="仿宋_GB2312"/>
          <w:b/>
          <w:bCs/>
          <w:sz w:val="32"/>
          <w:szCs w:val="32"/>
        </w:rPr>
        <w:t>（一）监督抽查情况</w:t>
      </w:r>
      <w:bookmarkEnd w:id="37"/>
      <w:bookmarkEnd w:id="38"/>
      <w:bookmarkEnd w:id="39"/>
      <w:bookmarkEnd w:id="40"/>
      <w:bookmarkEnd w:id="41"/>
      <w:bookmarkEnd w:id="42"/>
      <w:bookmarkEnd w:id="43"/>
      <w:r>
        <w:rPr>
          <w:rFonts w:hint="eastAsia" w:ascii="仿宋_GB2312" w:hAnsi="仿宋_GB2312" w:eastAsia="仿宋_GB2312" w:cs="仿宋_GB2312"/>
          <w:b/>
          <w:bCs/>
          <w:sz w:val="32"/>
          <w:szCs w:val="32"/>
        </w:rPr>
        <w:t xml:space="preserve"> </w:t>
      </w:r>
    </w:p>
    <w:p>
      <w:pPr>
        <w:tabs>
          <w:tab w:val="left" w:pos="1888"/>
        </w:tabs>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电动自行车的普及极大方便人们的短程出行，缓解了城市交通拥堵压力。但电动自行车产品质量问题也随之暴露无遗，各级政府监管部门近年来更是将电动自行车列为重点监管产品。从近3年电动自行车国家监督抽查及市级监督抽查整体情况来看，新国标（GB17761-2018电动自行车安全技术规范）实施后产品不合格发现率相对较高，电动自行车行业整体质量有所下降。但市场监管部门通过及时开展企业帮扶、组织召开产品宣贯会、宣传及查处等一系列措施，2021年市抽不合格发现率已降低至22.2%，低于同期国家监督抽查不合格率24.8%，这说明深圳市电动自行车产品整体质量水平正在向好。</w:t>
      </w:r>
    </w:p>
    <w:p>
      <w:pPr>
        <w:tabs>
          <w:tab w:val="left" w:pos="1888"/>
        </w:tabs>
        <w:ind w:firstLine="64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表2.近3年电动自行车国抽及市抽质量监督情况表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217"/>
        <w:gridCol w:w="1303"/>
        <w:gridCol w:w="1880"/>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blHeader/>
        </w:trPr>
        <w:tc>
          <w:tcPr>
            <w:tcW w:w="8522" w:type="dxa"/>
            <w:gridSpan w:val="5"/>
            <w:vAlign w:val="center"/>
          </w:tcPr>
          <w:p>
            <w:pPr>
              <w:tabs>
                <w:tab w:val="left" w:pos="1888"/>
              </w:tabs>
              <w:jc w:val="center"/>
              <w:rPr>
                <w:rFonts w:ascii="仿宋" w:hAnsi="仿宋" w:eastAsia="仿宋" w:cs="仿宋"/>
                <w:sz w:val="24"/>
              </w:rPr>
            </w:pPr>
            <w:r>
              <w:rPr>
                <w:rFonts w:hint="eastAsia" w:ascii="仿宋" w:hAnsi="仿宋" w:eastAsia="仿宋" w:cs="仿宋"/>
                <w:b/>
                <w:bCs/>
                <w:sz w:val="24"/>
              </w:rPr>
              <w:t>近3年电动自行车国抽质量监督情况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blHeader/>
        </w:trPr>
        <w:tc>
          <w:tcPr>
            <w:tcW w:w="982" w:type="dxa"/>
            <w:vAlign w:val="center"/>
          </w:tcPr>
          <w:p>
            <w:pPr>
              <w:tabs>
                <w:tab w:val="left" w:pos="1888"/>
              </w:tabs>
              <w:jc w:val="center"/>
              <w:rPr>
                <w:rFonts w:ascii="仿宋" w:hAnsi="仿宋" w:eastAsia="仿宋" w:cs="仿宋"/>
                <w:sz w:val="24"/>
              </w:rPr>
            </w:pPr>
            <w:r>
              <w:rPr>
                <w:rFonts w:hint="eastAsia" w:ascii="仿宋" w:hAnsi="仿宋" w:eastAsia="仿宋" w:cs="仿宋"/>
                <w:b/>
                <w:bCs/>
                <w:sz w:val="24"/>
              </w:rPr>
              <w:t>年份</w:t>
            </w:r>
          </w:p>
        </w:tc>
        <w:tc>
          <w:tcPr>
            <w:tcW w:w="1217" w:type="dxa"/>
            <w:vAlign w:val="center"/>
          </w:tcPr>
          <w:p>
            <w:pPr>
              <w:tabs>
                <w:tab w:val="left" w:pos="1888"/>
              </w:tabs>
              <w:jc w:val="center"/>
              <w:rPr>
                <w:rFonts w:ascii="仿宋" w:hAnsi="仿宋" w:eastAsia="仿宋" w:cs="仿宋"/>
                <w:sz w:val="24"/>
              </w:rPr>
            </w:pPr>
            <w:r>
              <w:rPr>
                <w:rFonts w:hint="eastAsia" w:ascii="仿宋" w:hAnsi="仿宋" w:eastAsia="仿宋" w:cs="仿宋"/>
                <w:b/>
                <w:bCs/>
                <w:sz w:val="24"/>
              </w:rPr>
              <w:t>总批次</w:t>
            </w:r>
          </w:p>
        </w:tc>
        <w:tc>
          <w:tcPr>
            <w:tcW w:w="1303" w:type="dxa"/>
            <w:vAlign w:val="center"/>
          </w:tcPr>
          <w:p>
            <w:pPr>
              <w:tabs>
                <w:tab w:val="left" w:pos="1888"/>
              </w:tabs>
              <w:jc w:val="center"/>
              <w:rPr>
                <w:rFonts w:ascii="仿宋" w:hAnsi="仿宋" w:eastAsia="仿宋" w:cs="仿宋"/>
                <w:sz w:val="24"/>
              </w:rPr>
            </w:pPr>
            <w:r>
              <w:rPr>
                <w:rFonts w:hint="eastAsia" w:ascii="仿宋" w:hAnsi="仿宋" w:eastAsia="仿宋" w:cs="仿宋"/>
                <w:b/>
                <w:bCs/>
                <w:sz w:val="24"/>
              </w:rPr>
              <w:t>不合格批次</w:t>
            </w:r>
          </w:p>
        </w:tc>
        <w:tc>
          <w:tcPr>
            <w:tcW w:w="1880" w:type="dxa"/>
            <w:vAlign w:val="center"/>
          </w:tcPr>
          <w:p>
            <w:pPr>
              <w:tabs>
                <w:tab w:val="left" w:pos="1888"/>
              </w:tabs>
              <w:jc w:val="center"/>
              <w:rPr>
                <w:rFonts w:ascii="仿宋" w:hAnsi="仿宋" w:eastAsia="仿宋" w:cs="仿宋"/>
                <w:sz w:val="24"/>
              </w:rPr>
            </w:pPr>
            <w:r>
              <w:rPr>
                <w:rFonts w:hint="eastAsia" w:ascii="仿宋" w:hAnsi="仿宋" w:eastAsia="仿宋" w:cs="仿宋"/>
                <w:b/>
                <w:bCs/>
                <w:sz w:val="24"/>
              </w:rPr>
              <w:t>不合格发现率(%)</w:t>
            </w:r>
          </w:p>
        </w:tc>
        <w:tc>
          <w:tcPr>
            <w:tcW w:w="3140" w:type="dxa"/>
            <w:vAlign w:val="center"/>
          </w:tcPr>
          <w:p>
            <w:pPr>
              <w:tabs>
                <w:tab w:val="left" w:pos="1888"/>
              </w:tabs>
              <w:jc w:val="center"/>
              <w:rPr>
                <w:rFonts w:ascii="仿宋" w:hAnsi="仿宋" w:eastAsia="仿宋" w:cs="仿宋"/>
                <w:sz w:val="24"/>
              </w:rPr>
            </w:pPr>
            <w:r>
              <w:rPr>
                <w:rFonts w:hint="eastAsia" w:ascii="仿宋" w:hAnsi="仿宋" w:eastAsia="仿宋" w:cs="仿宋"/>
                <w:b/>
                <w:bCs/>
                <w:sz w:val="24"/>
              </w:rPr>
              <w:t>主要不合格项目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bCs/>
              </w:rPr>
              <w:t>2021</w:t>
            </w:r>
          </w:p>
        </w:tc>
        <w:tc>
          <w:tcPr>
            <w:tcW w:w="1217"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262</w:t>
            </w:r>
          </w:p>
        </w:tc>
        <w:tc>
          <w:tcPr>
            <w:tcW w:w="1303"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65</w:t>
            </w:r>
          </w:p>
        </w:tc>
        <w:tc>
          <w:tcPr>
            <w:tcW w:w="188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24.8</w:t>
            </w:r>
          </w:p>
        </w:tc>
        <w:tc>
          <w:tcPr>
            <w:tcW w:w="314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车速限值，整车质量，结构，车速提示音，淋水涉水性能，反射器、照明和鸣号装置，电气装置，充电器与蓄电池，防火性能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bCs/>
              </w:rPr>
              <w:t>2021（</w:t>
            </w:r>
          </w:p>
          <w:p>
            <w:pPr>
              <w:pStyle w:val="10"/>
              <w:widowControl/>
              <w:spacing w:beforeAutospacing="1" w:afterAutospacing="1"/>
              <w:jc w:val="center"/>
              <w:rPr>
                <w:rFonts w:ascii="仿宋" w:hAnsi="仿宋" w:eastAsia="仿宋" w:cs="仿宋"/>
              </w:rPr>
            </w:pPr>
            <w:r>
              <w:rPr>
                <w:rFonts w:hint="eastAsia" w:ascii="仿宋" w:hAnsi="仿宋" w:eastAsia="仿宋" w:cs="仿宋"/>
                <w:bCs/>
              </w:rPr>
              <w:t>网抽）</w:t>
            </w:r>
          </w:p>
        </w:tc>
        <w:tc>
          <w:tcPr>
            <w:tcW w:w="1217"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39</w:t>
            </w:r>
          </w:p>
        </w:tc>
        <w:tc>
          <w:tcPr>
            <w:tcW w:w="1303"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10</w:t>
            </w:r>
          </w:p>
        </w:tc>
        <w:tc>
          <w:tcPr>
            <w:tcW w:w="188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25.6</w:t>
            </w:r>
          </w:p>
        </w:tc>
        <w:tc>
          <w:tcPr>
            <w:tcW w:w="314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车速限值，车速提示音，淋水涉水性能，反射器、照明和鸣号装置，电气装置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pStyle w:val="10"/>
              <w:widowControl/>
              <w:spacing w:beforeAutospacing="1" w:afterAutospacing="1"/>
              <w:jc w:val="center"/>
              <w:rPr>
                <w:rFonts w:ascii="仿宋" w:hAnsi="仿宋" w:eastAsia="仿宋" w:cs="仿宋"/>
                <w:bCs/>
              </w:rPr>
            </w:pPr>
            <w:r>
              <w:rPr>
                <w:rFonts w:hint="eastAsia" w:ascii="仿宋" w:hAnsi="仿宋" w:eastAsia="仿宋" w:cs="仿宋"/>
                <w:bCs/>
              </w:rPr>
              <w:t>2020</w:t>
            </w:r>
          </w:p>
        </w:tc>
        <w:tc>
          <w:tcPr>
            <w:tcW w:w="1217"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159</w:t>
            </w:r>
          </w:p>
        </w:tc>
        <w:tc>
          <w:tcPr>
            <w:tcW w:w="1303"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24</w:t>
            </w:r>
          </w:p>
        </w:tc>
        <w:tc>
          <w:tcPr>
            <w:tcW w:w="188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15.1</w:t>
            </w:r>
          </w:p>
        </w:tc>
        <w:tc>
          <w:tcPr>
            <w:tcW w:w="314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反射器、照明和鸣号装置，车速限值，车速提示音，淋水涉水性能，电气装置，结构，防火性能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pStyle w:val="10"/>
              <w:widowControl/>
              <w:spacing w:beforeAutospacing="1" w:afterAutospacing="1"/>
              <w:jc w:val="center"/>
              <w:rPr>
                <w:rFonts w:ascii="仿宋" w:hAnsi="仿宋" w:eastAsia="仿宋" w:cs="仿宋"/>
                <w:bCs/>
              </w:rPr>
            </w:pPr>
            <w:r>
              <w:rPr>
                <w:rFonts w:hint="eastAsia" w:ascii="仿宋" w:hAnsi="仿宋" w:eastAsia="仿宋" w:cs="仿宋"/>
                <w:bCs/>
              </w:rPr>
              <w:t>2019</w:t>
            </w:r>
          </w:p>
        </w:tc>
        <w:tc>
          <w:tcPr>
            <w:tcW w:w="1217"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80</w:t>
            </w:r>
          </w:p>
        </w:tc>
        <w:tc>
          <w:tcPr>
            <w:tcW w:w="1303"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23</w:t>
            </w:r>
          </w:p>
        </w:tc>
        <w:tc>
          <w:tcPr>
            <w:tcW w:w="188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28.8</w:t>
            </w:r>
          </w:p>
        </w:tc>
        <w:tc>
          <w:tcPr>
            <w:tcW w:w="314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车速限值，结构，车速提示音，淋水涉水性能，反射器、照明和鸣号装置，电气装置，充电器与蓄电池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8522" w:type="dxa"/>
            <w:gridSpan w:val="5"/>
            <w:vAlign w:val="center"/>
          </w:tcPr>
          <w:p>
            <w:pPr>
              <w:tabs>
                <w:tab w:val="left" w:pos="1888"/>
              </w:tabs>
              <w:jc w:val="center"/>
              <w:rPr>
                <w:rFonts w:ascii="仿宋" w:hAnsi="仿宋" w:eastAsia="仿宋" w:cs="仿宋"/>
                <w:sz w:val="24"/>
              </w:rPr>
            </w:pPr>
            <w:r>
              <w:rPr>
                <w:rFonts w:hint="eastAsia" w:ascii="仿宋" w:hAnsi="仿宋" w:eastAsia="仿宋" w:cs="仿宋"/>
                <w:b/>
                <w:bCs/>
                <w:sz w:val="24"/>
              </w:rPr>
              <w:t>近3年电动自行车市抽质量监督情况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pStyle w:val="10"/>
              <w:widowControl/>
              <w:spacing w:beforeAutospacing="1" w:afterAutospacing="1"/>
              <w:jc w:val="center"/>
              <w:rPr>
                <w:rFonts w:ascii="仿宋" w:hAnsi="仿宋" w:eastAsia="仿宋" w:cs="仿宋"/>
                <w:b/>
                <w:bCs/>
              </w:rPr>
            </w:pPr>
            <w:r>
              <w:rPr>
                <w:rFonts w:hint="eastAsia" w:ascii="仿宋" w:hAnsi="仿宋" w:eastAsia="仿宋" w:cs="仿宋"/>
                <w:b/>
                <w:bCs/>
              </w:rPr>
              <w:t>年份</w:t>
            </w:r>
          </w:p>
        </w:tc>
        <w:tc>
          <w:tcPr>
            <w:tcW w:w="1217"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b/>
                <w:bCs/>
              </w:rPr>
              <w:t>总批次</w:t>
            </w:r>
          </w:p>
        </w:tc>
        <w:tc>
          <w:tcPr>
            <w:tcW w:w="1303"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b/>
                <w:bCs/>
              </w:rPr>
              <w:t>不合格批次</w:t>
            </w:r>
          </w:p>
        </w:tc>
        <w:tc>
          <w:tcPr>
            <w:tcW w:w="188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b/>
                <w:bCs/>
              </w:rPr>
              <w:t>不合格发现率(%)</w:t>
            </w:r>
          </w:p>
        </w:tc>
        <w:tc>
          <w:tcPr>
            <w:tcW w:w="314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b/>
                <w:bCs/>
              </w:rPr>
              <w:t>主要不合格项目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2"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bCs/>
              </w:rPr>
              <w:t>2021</w:t>
            </w:r>
          </w:p>
        </w:tc>
        <w:tc>
          <w:tcPr>
            <w:tcW w:w="1217"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45</w:t>
            </w:r>
          </w:p>
        </w:tc>
        <w:tc>
          <w:tcPr>
            <w:tcW w:w="1303"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10</w:t>
            </w:r>
          </w:p>
        </w:tc>
        <w:tc>
          <w:tcPr>
            <w:tcW w:w="188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22.2</w:t>
            </w:r>
          </w:p>
        </w:tc>
        <w:tc>
          <w:tcPr>
            <w:tcW w:w="314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车速限值、车速提示音、短路保护、反射器光学要求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2" w:type="dxa"/>
            <w:vAlign w:val="center"/>
          </w:tcPr>
          <w:p>
            <w:pPr>
              <w:pStyle w:val="10"/>
              <w:widowControl/>
              <w:spacing w:beforeAutospacing="1" w:afterAutospacing="1"/>
              <w:jc w:val="center"/>
              <w:rPr>
                <w:rFonts w:ascii="仿宋" w:hAnsi="仿宋" w:eastAsia="仿宋" w:cs="仿宋"/>
                <w:bCs/>
              </w:rPr>
            </w:pPr>
            <w:r>
              <w:rPr>
                <w:rFonts w:hint="eastAsia" w:ascii="仿宋" w:hAnsi="仿宋" w:eastAsia="仿宋" w:cs="仿宋"/>
                <w:bCs/>
              </w:rPr>
              <w:t>2020</w:t>
            </w:r>
          </w:p>
        </w:tc>
        <w:tc>
          <w:tcPr>
            <w:tcW w:w="1217"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53</w:t>
            </w:r>
          </w:p>
        </w:tc>
        <w:tc>
          <w:tcPr>
            <w:tcW w:w="1303"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14</w:t>
            </w:r>
          </w:p>
        </w:tc>
        <w:tc>
          <w:tcPr>
            <w:tcW w:w="188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30.2</w:t>
            </w:r>
          </w:p>
        </w:tc>
        <w:tc>
          <w:tcPr>
            <w:tcW w:w="314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车速限值、车速提示音、短路保护、整车质量、尺寸限值、淋水涉水性能、充电器与蓄池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pStyle w:val="10"/>
              <w:widowControl/>
              <w:spacing w:beforeAutospacing="1" w:afterAutospacing="1"/>
              <w:jc w:val="center"/>
              <w:rPr>
                <w:rFonts w:ascii="仿宋" w:hAnsi="仿宋" w:eastAsia="仿宋" w:cs="仿宋"/>
                <w:bCs/>
              </w:rPr>
            </w:pPr>
            <w:r>
              <w:rPr>
                <w:rFonts w:hint="eastAsia" w:ascii="仿宋" w:hAnsi="仿宋" w:eastAsia="仿宋" w:cs="仿宋"/>
                <w:bCs/>
              </w:rPr>
              <w:t>2019</w:t>
            </w:r>
          </w:p>
        </w:tc>
        <w:tc>
          <w:tcPr>
            <w:tcW w:w="1217"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55</w:t>
            </w:r>
          </w:p>
        </w:tc>
        <w:tc>
          <w:tcPr>
            <w:tcW w:w="1303"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30</w:t>
            </w:r>
          </w:p>
        </w:tc>
        <w:tc>
          <w:tcPr>
            <w:tcW w:w="188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54.5</w:t>
            </w:r>
          </w:p>
        </w:tc>
        <w:tc>
          <w:tcPr>
            <w:tcW w:w="314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车速限值、车速提示音、尺寸限值、短路保护、过流保护功能、蓄电池防篡改、整车质量、整车编码、使用说明书</w:t>
            </w:r>
          </w:p>
        </w:tc>
      </w:tr>
    </w:tbl>
    <w:p>
      <w:pPr>
        <w:pStyle w:val="26"/>
        <w:numPr>
          <w:ilvl w:val="255"/>
          <w:numId w:val="0"/>
        </w:numPr>
        <w:jc w:val="left"/>
        <w:outlineLvl w:val="1"/>
        <w:rPr>
          <w:rFonts w:ascii="仿宋_GB2312" w:hAnsi="仿宋_GB2312" w:eastAsia="仿宋_GB2312" w:cs="仿宋_GB2312"/>
          <w:b/>
          <w:bCs/>
          <w:sz w:val="32"/>
          <w:szCs w:val="32"/>
        </w:rPr>
      </w:pPr>
      <w:bookmarkStart w:id="44" w:name="_Toc13325"/>
      <w:bookmarkStart w:id="45" w:name="_Toc8889"/>
      <w:bookmarkStart w:id="46" w:name="_Toc11767"/>
      <w:bookmarkStart w:id="47" w:name="_Toc8068"/>
      <w:bookmarkStart w:id="48" w:name="_Toc17050"/>
      <w:bookmarkStart w:id="49" w:name="_Toc12419"/>
      <w:bookmarkStart w:id="50" w:name="_Toc29316"/>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rPr>
        <w:t>）深圳市电动自行车快检情况</w:t>
      </w:r>
      <w:bookmarkEnd w:id="44"/>
      <w:bookmarkEnd w:id="45"/>
      <w:bookmarkEnd w:id="46"/>
      <w:bookmarkEnd w:id="47"/>
      <w:bookmarkEnd w:id="48"/>
      <w:bookmarkEnd w:id="49"/>
      <w:bookmarkEnd w:id="50"/>
    </w:p>
    <w:p>
      <w:pPr>
        <w:pStyle w:val="26"/>
        <w:tabs>
          <w:tab w:val="left" w:pos="1888"/>
        </w:tabs>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电动自行车产品是深圳市市场监督管理局工业产品质量“快速检测+监管、执法、服务”改革试点首批纳入快检的产品之一，项目开展中选取了社会关注度较高的检测项目进行快检，具体检测项目为：CCC有效性核验、车速限值、整车质量、尺寸限值、鞍座长度、后衣架宽度、蓄电池防篡改、短路保护8个项目。截至2022年10月21日，全市共完成124批次电动自行车快检任务，覆盖福田区、罗湖区、宝安区、深汕特别合作区等共7个行政区，涉及销售门店68家。其中福田区完成9批次快检任务，涉及销售门店5家。具体快检情况见下表。</w:t>
      </w:r>
    </w:p>
    <w:p>
      <w:pPr>
        <w:pStyle w:val="26"/>
        <w:tabs>
          <w:tab w:val="left" w:pos="1888"/>
        </w:tabs>
        <w:ind w:firstLine="5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表</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.2022年电动自行车快检情况统计表</w:t>
      </w:r>
    </w:p>
    <w:tbl>
      <w:tblPr>
        <w:tblStyle w:val="13"/>
        <w:tblW w:w="9165"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1234"/>
        <w:gridCol w:w="1225"/>
        <w:gridCol w:w="1520"/>
        <w:gridCol w:w="3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2051" w:type="dxa"/>
            <w:vAlign w:val="center"/>
          </w:tcPr>
          <w:p>
            <w:pPr>
              <w:pStyle w:val="10"/>
              <w:widowControl/>
              <w:jc w:val="center"/>
              <w:rPr>
                <w:rFonts w:ascii="仿宋" w:hAnsi="仿宋" w:eastAsia="仿宋" w:cs="仿宋"/>
                <w:b/>
                <w:bCs/>
              </w:rPr>
            </w:pPr>
            <w:r>
              <w:rPr>
                <w:rFonts w:hint="eastAsia" w:ascii="仿宋" w:hAnsi="仿宋" w:eastAsia="仿宋" w:cs="仿宋"/>
                <w:b/>
                <w:bCs/>
              </w:rPr>
              <w:t>快检类别</w:t>
            </w:r>
          </w:p>
        </w:tc>
        <w:tc>
          <w:tcPr>
            <w:tcW w:w="1234" w:type="dxa"/>
            <w:vAlign w:val="center"/>
          </w:tcPr>
          <w:p>
            <w:pPr>
              <w:pStyle w:val="10"/>
              <w:widowControl/>
              <w:jc w:val="center"/>
              <w:rPr>
                <w:rFonts w:ascii="仿宋" w:hAnsi="仿宋" w:eastAsia="仿宋" w:cs="仿宋"/>
                <w:b/>
                <w:bCs/>
              </w:rPr>
            </w:pPr>
            <w:r>
              <w:rPr>
                <w:rFonts w:hint="eastAsia" w:ascii="仿宋" w:hAnsi="仿宋" w:eastAsia="仿宋" w:cs="仿宋"/>
                <w:b/>
                <w:bCs/>
              </w:rPr>
              <w:t>总数</w:t>
            </w:r>
          </w:p>
        </w:tc>
        <w:tc>
          <w:tcPr>
            <w:tcW w:w="1225" w:type="dxa"/>
            <w:vAlign w:val="center"/>
          </w:tcPr>
          <w:p>
            <w:pPr>
              <w:pStyle w:val="10"/>
              <w:widowControl/>
              <w:jc w:val="center"/>
              <w:rPr>
                <w:rFonts w:ascii="仿宋" w:hAnsi="仿宋" w:eastAsia="仿宋" w:cs="仿宋"/>
                <w:b/>
                <w:bCs/>
              </w:rPr>
            </w:pPr>
            <w:r>
              <w:rPr>
                <w:rFonts w:hint="eastAsia" w:ascii="仿宋" w:hAnsi="仿宋" w:eastAsia="仿宋" w:cs="仿宋"/>
                <w:b/>
                <w:bCs/>
              </w:rPr>
              <w:t>不符合数</w:t>
            </w:r>
          </w:p>
        </w:tc>
        <w:tc>
          <w:tcPr>
            <w:tcW w:w="1520" w:type="dxa"/>
            <w:vAlign w:val="center"/>
          </w:tcPr>
          <w:p>
            <w:pPr>
              <w:pStyle w:val="10"/>
              <w:widowControl/>
              <w:jc w:val="center"/>
              <w:rPr>
                <w:rFonts w:ascii="仿宋" w:hAnsi="仿宋" w:eastAsia="仿宋" w:cs="仿宋"/>
                <w:b/>
                <w:bCs/>
              </w:rPr>
            </w:pPr>
            <w:r>
              <w:rPr>
                <w:rFonts w:hint="eastAsia" w:ascii="仿宋" w:hAnsi="仿宋" w:eastAsia="仿宋" w:cs="仿宋"/>
                <w:b/>
                <w:bCs/>
              </w:rPr>
              <w:t>不符合率/%</w:t>
            </w:r>
          </w:p>
        </w:tc>
        <w:tc>
          <w:tcPr>
            <w:tcW w:w="3135" w:type="dxa"/>
            <w:vAlign w:val="center"/>
          </w:tcPr>
          <w:p>
            <w:pPr>
              <w:pStyle w:val="10"/>
              <w:widowControl/>
              <w:jc w:val="center"/>
              <w:rPr>
                <w:rFonts w:ascii="仿宋" w:hAnsi="仿宋" w:eastAsia="仿宋" w:cs="仿宋"/>
                <w:b/>
                <w:bCs/>
              </w:rPr>
            </w:pPr>
            <w:r>
              <w:rPr>
                <w:rFonts w:hint="eastAsia" w:ascii="仿宋" w:hAnsi="仿宋" w:eastAsia="仿宋" w:cs="仿宋"/>
                <w:b/>
                <w:bCs/>
              </w:rPr>
              <w:t>不符合项目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福田区已快检电动自行车</w:t>
            </w:r>
          </w:p>
        </w:tc>
        <w:tc>
          <w:tcPr>
            <w:tcW w:w="1234"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9批次</w:t>
            </w:r>
          </w:p>
        </w:tc>
        <w:tc>
          <w:tcPr>
            <w:tcW w:w="1225"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5批次</w:t>
            </w:r>
          </w:p>
        </w:tc>
        <w:tc>
          <w:tcPr>
            <w:tcW w:w="152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55.6</w:t>
            </w:r>
          </w:p>
        </w:tc>
        <w:tc>
          <w:tcPr>
            <w:tcW w:w="3135" w:type="dxa"/>
            <w:vMerge w:val="restart"/>
            <w:vAlign w:val="center"/>
          </w:tcPr>
          <w:p>
            <w:pPr>
              <w:pStyle w:val="10"/>
              <w:widowControl/>
              <w:spacing w:beforeAutospacing="1" w:afterAutospacing="1"/>
              <w:jc w:val="both"/>
              <w:rPr>
                <w:rFonts w:ascii="仿宋" w:hAnsi="仿宋" w:eastAsia="仿宋" w:cs="仿宋"/>
              </w:rPr>
            </w:pPr>
            <w:r>
              <w:rPr>
                <w:rFonts w:hint="eastAsia" w:ascii="仿宋" w:hAnsi="仿宋" w:eastAsia="仿宋" w:cs="仿宋"/>
              </w:rPr>
              <w:t>整车质量、鞍座长度、后衣架宽度、蓄电池防篡改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福田区已快检销售门店</w:t>
            </w:r>
          </w:p>
        </w:tc>
        <w:tc>
          <w:tcPr>
            <w:tcW w:w="1234"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5家</w:t>
            </w:r>
          </w:p>
        </w:tc>
        <w:tc>
          <w:tcPr>
            <w:tcW w:w="1225"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4家</w:t>
            </w:r>
          </w:p>
        </w:tc>
        <w:tc>
          <w:tcPr>
            <w:tcW w:w="1520" w:type="dxa"/>
            <w:vAlign w:val="center"/>
          </w:tcPr>
          <w:p>
            <w:pPr>
              <w:pStyle w:val="10"/>
              <w:widowControl/>
              <w:spacing w:beforeAutospacing="1" w:afterAutospacing="1"/>
              <w:jc w:val="center"/>
              <w:rPr>
                <w:rFonts w:ascii="仿宋" w:hAnsi="仿宋" w:eastAsia="仿宋" w:cs="仿宋"/>
              </w:rPr>
            </w:pPr>
            <w:r>
              <w:rPr>
                <w:rFonts w:hint="eastAsia" w:ascii="仿宋" w:hAnsi="仿宋" w:eastAsia="仿宋" w:cs="仿宋"/>
              </w:rPr>
              <w:t>80.0</w:t>
            </w:r>
          </w:p>
        </w:tc>
        <w:tc>
          <w:tcPr>
            <w:tcW w:w="3135" w:type="dxa"/>
            <w:vMerge w:val="continue"/>
            <w:vAlign w:val="center"/>
          </w:tcPr>
          <w:p>
            <w:pPr>
              <w:pStyle w:val="10"/>
              <w:widowControl/>
              <w:spacing w:beforeAutospacing="1" w:afterAutospacing="1"/>
              <w:jc w:val="both"/>
              <w:rPr>
                <w:rFonts w:ascii="仿宋" w:hAnsi="仿宋" w:eastAsia="仿宋" w:cs="仿宋"/>
              </w:rPr>
            </w:pPr>
          </w:p>
        </w:tc>
      </w:tr>
    </w:tbl>
    <w:p>
      <w:pPr>
        <w:rPr>
          <w:rFonts w:ascii="仿宋_GB2312" w:hAnsi="仿宋_GB2312" w:eastAsia="仿宋_GB2312" w:cs="仿宋_GB2312"/>
          <w:b/>
          <w:bCs/>
          <w:sz w:val="32"/>
          <w:szCs w:val="32"/>
        </w:rPr>
      </w:pPr>
    </w:p>
    <w:p>
      <w:pPr>
        <w:tabs>
          <w:tab w:val="left" w:pos="1888"/>
        </w:tabs>
        <w:jc w:val="left"/>
        <w:outlineLvl w:val="0"/>
        <w:rPr>
          <w:rFonts w:ascii="黑体" w:hAnsi="黑体" w:eastAsia="黑体" w:cs="黑体"/>
          <w:sz w:val="32"/>
          <w:szCs w:val="32"/>
        </w:rPr>
      </w:pPr>
      <w:bookmarkStart w:id="51" w:name="_Toc26517"/>
      <w:bookmarkStart w:id="52" w:name="_Toc9102"/>
      <w:bookmarkStart w:id="53" w:name="_Toc12940"/>
      <w:bookmarkStart w:id="54" w:name="_Toc20661"/>
      <w:bookmarkStart w:id="55" w:name="_Toc3215"/>
      <w:bookmarkStart w:id="56" w:name="_Toc163"/>
      <w:bookmarkStart w:id="57" w:name="_Toc14763"/>
      <w:r>
        <w:rPr>
          <w:rFonts w:hint="eastAsia" w:ascii="黑体" w:hAnsi="黑体" w:eastAsia="黑体" w:cs="黑体"/>
          <w:sz w:val="32"/>
          <w:szCs w:val="32"/>
        </w:rPr>
        <w:t>三、电动自行车产品不合格项目分析</w:t>
      </w:r>
      <w:bookmarkEnd w:id="51"/>
      <w:bookmarkEnd w:id="52"/>
      <w:bookmarkEnd w:id="53"/>
      <w:bookmarkEnd w:id="54"/>
      <w:bookmarkEnd w:id="55"/>
      <w:bookmarkEnd w:id="56"/>
      <w:bookmarkEnd w:id="57"/>
    </w:p>
    <w:p>
      <w:pPr>
        <w:tabs>
          <w:tab w:val="left" w:pos="1888"/>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近三年电动自行车产品国家监督抽查和深圳市监督抽查的数据分析，发现主要不合格项目为车速限值、整车质量、尺寸限值、脚蹬间隙、车速提示音、淋水涉水性能、短路保护、反射器、照明、蓄电池防篡改等项目。</w:t>
      </w:r>
    </w:p>
    <w:p>
      <w:pPr>
        <w:pStyle w:val="26"/>
        <w:numPr>
          <w:ilvl w:val="255"/>
          <w:numId w:val="0"/>
        </w:numPr>
        <w:jc w:val="left"/>
        <w:outlineLvl w:val="1"/>
        <w:rPr>
          <w:rFonts w:ascii="仿宋_GB2312" w:hAnsi="仿宋_GB2312" w:eastAsia="仿宋_GB2312" w:cs="仿宋_GB2312"/>
          <w:b/>
          <w:bCs/>
          <w:sz w:val="32"/>
          <w:szCs w:val="32"/>
        </w:rPr>
      </w:pPr>
      <w:bookmarkStart w:id="58" w:name="_Toc12827"/>
      <w:bookmarkStart w:id="59" w:name="_Toc10381"/>
      <w:bookmarkStart w:id="60" w:name="_Toc28261"/>
      <w:bookmarkStart w:id="61" w:name="_Toc25644"/>
      <w:bookmarkStart w:id="62" w:name="_Toc22861"/>
      <w:bookmarkStart w:id="63" w:name="_Toc21950"/>
      <w:bookmarkStart w:id="64" w:name="_Toc5438"/>
      <w:r>
        <w:rPr>
          <w:rFonts w:hint="eastAsia" w:ascii="仿宋_GB2312" w:hAnsi="仿宋_GB2312" w:eastAsia="仿宋_GB2312" w:cs="仿宋_GB2312"/>
          <w:b/>
          <w:bCs/>
          <w:sz w:val="32"/>
          <w:szCs w:val="32"/>
        </w:rPr>
        <w:t>（一）不合格项目分析：</w:t>
      </w:r>
      <w:bookmarkEnd w:id="58"/>
      <w:bookmarkEnd w:id="59"/>
      <w:bookmarkEnd w:id="60"/>
      <w:bookmarkEnd w:id="61"/>
      <w:bookmarkEnd w:id="62"/>
      <w:bookmarkEnd w:id="63"/>
      <w:bookmarkEnd w:id="64"/>
    </w:p>
    <w:p>
      <w:pPr>
        <w:tabs>
          <w:tab w:val="left" w:pos="1888"/>
        </w:tabs>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1.车速限值</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车速限值是指企业明示的车辆最高设计车速。标准要求电驱动车型车速限值不超过25 km/h，电</w:t>
      </w:r>
      <w:r>
        <w:rPr>
          <w:rFonts w:ascii="仿宋_GB2312" w:hAnsi="仿宋_GB2312" w:eastAsia="仿宋_GB2312" w:cs="仿宋_GB2312"/>
          <w:sz w:val="32"/>
          <w:szCs w:val="32"/>
        </w:rPr>
        <w:t>助</w:t>
      </w:r>
      <w:r>
        <w:rPr>
          <w:rFonts w:hint="eastAsia" w:ascii="仿宋_GB2312" w:hAnsi="仿宋_GB2312" w:eastAsia="仿宋_GB2312" w:cs="仿宋_GB2312"/>
          <w:sz w:val="32"/>
          <w:szCs w:val="32"/>
        </w:rPr>
        <w:t>动车型</w:t>
      </w:r>
      <w:r>
        <w:rPr>
          <w:rFonts w:ascii="仿宋_GB2312" w:hAnsi="仿宋_GB2312" w:eastAsia="仿宋_GB2312" w:cs="仿宋_GB2312"/>
          <w:sz w:val="32"/>
          <w:szCs w:val="32"/>
        </w:rPr>
        <w:t>电助动功能行驶时，车速超过 25km/h 时，电动机不提供动力输出。</w:t>
      </w:r>
      <w:r>
        <w:rPr>
          <w:rFonts w:hint="eastAsia" w:ascii="仿宋_GB2312" w:hAnsi="仿宋_GB2312" w:eastAsia="仿宋_GB2312" w:cs="仿宋_GB2312"/>
          <w:sz w:val="32"/>
          <w:szCs w:val="32"/>
        </w:rPr>
        <w:t>导致不合格的原因可能是控制器质量把控不严造成，也可能是人为因素故意造成。</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2.整车质量</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整车质量是指</w:t>
      </w:r>
      <w:r>
        <w:rPr>
          <w:rFonts w:ascii="仿宋_GB2312" w:hAnsi="仿宋_GB2312" w:eastAsia="仿宋_GB2312" w:cs="仿宋_GB2312"/>
          <w:sz w:val="32"/>
          <w:szCs w:val="32"/>
        </w:rPr>
        <w:t>装配完整的电动自行车的整车质量</w:t>
      </w:r>
      <w:r>
        <w:rPr>
          <w:rFonts w:hint="eastAsia" w:ascii="仿宋_GB2312" w:hAnsi="仿宋_GB2312" w:eastAsia="仿宋_GB2312" w:cs="仿宋_GB2312"/>
          <w:sz w:val="32"/>
          <w:szCs w:val="32"/>
        </w:rPr>
        <w:t>(含蓄电池及使用说明书中明示的所有配件，但不含非车载充电器)。标准要求</w:t>
      </w:r>
      <w:r>
        <w:rPr>
          <w:rFonts w:ascii="仿宋_GB2312" w:hAnsi="仿宋_GB2312" w:eastAsia="仿宋_GB2312" w:cs="仿宋_GB2312"/>
          <w:sz w:val="32"/>
          <w:szCs w:val="32"/>
        </w:rPr>
        <w:t>整车质量≤55</w:t>
      </w:r>
      <w:r>
        <w:rPr>
          <w:rFonts w:hint="eastAsia" w:ascii="仿宋_GB2312" w:hAnsi="仿宋_GB2312" w:eastAsia="仿宋_GB2312" w:cs="仿宋_GB2312"/>
          <w:sz w:val="32"/>
          <w:szCs w:val="32"/>
        </w:rPr>
        <w:t>kg。导致不合格的原因可能是市场上存在未按</w:t>
      </w:r>
      <w:r>
        <w:rPr>
          <w:rFonts w:hint="eastAsia" w:ascii="仿宋_GB2312" w:hAnsi="宋体" w:eastAsia="仿宋_GB2312"/>
          <w:sz w:val="32"/>
          <w:szCs w:val="32"/>
        </w:rPr>
        <w:t>车辆合格证上明示要求装配电池、篡改鞍座及</w:t>
      </w:r>
      <w:r>
        <w:rPr>
          <w:rFonts w:hint="eastAsia" w:ascii="仿宋_GB2312" w:hAnsi="仿宋_GB2312" w:eastAsia="仿宋_GB2312" w:cs="仿宋_GB2312"/>
          <w:sz w:val="32"/>
          <w:szCs w:val="32"/>
        </w:rPr>
        <w:t>后衣架、加装护杠及雨棚等均会造成</w:t>
      </w:r>
      <w:r>
        <w:rPr>
          <w:rFonts w:ascii="仿宋_GB2312" w:hAnsi="仿宋_GB2312" w:eastAsia="仿宋_GB2312" w:cs="仿宋_GB2312"/>
          <w:sz w:val="32"/>
          <w:szCs w:val="32"/>
        </w:rPr>
        <w:t>整车质量</w:t>
      </w:r>
      <w:r>
        <w:rPr>
          <w:rFonts w:hint="eastAsia" w:ascii="仿宋_GB2312" w:hAnsi="仿宋_GB2312" w:eastAsia="仿宋_GB2312" w:cs="仿宋_GB2312"/>
          <w:sz w:val="32"/>
          <w:szCs w:val="32"/>
        </w:rPr>
        <w:t>超过</w:t>
      </w:r>
      <w:r>
        <w:rPr>
          <w:rFonts w:ascii="仿宋_GB2312" w:hAnsi="仿宋_GB2312" w:eastAsia="仿宋_GB2312" w:cs="仿宋_GB2312"/>
          <w:sz w:val="32"/>
          <w:szCs w:val="32"/>
        </w:rPr>
        <w:t>55</w:t>
      </w:r>
      <w:r>
        <w:rPr>
          <w:rFonts w:hint="eastAsia" w:ascii="仿宋_GB2312" w:hAnsi="仿宋_GB2312" w:eastAsia="仿宋_GB2312" w:cs="仿宋_GB2312"/>
          <w:sz w:val="32"/>
          <w:szCs w:val="32"/>
        </w:rPr>
        <w:t>kg。</w:t>
      </w:r>
    </w:p>
    <w:p>
      <w:pPr>
        <w:tabs>
          <w:tab w:val="left" w:pos="1888"/>
        </w:tabs>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3.尺寸限值</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尺寸限值是指车辆外形结构方面最大或最小尺寸要求。标准要求整车高度≤1100mm、车体宽度（除车把、脚蹬部分外）≤450mm、前、后轮中心距≤1250mm、鞍座高度≥635mm、鞍座长度≤350mm、后轮上方的衣架平坦部分最大宽度≤175mm。主要不合格项目是鞍座长度、后衣架宽度，导致不合格的原因可能是市场上</w:t>
      </w:r>
      <w:r>
        <w:rPr>
          <w:rFonts w:hint="eastAsia" w:ascii="仿宋_GB2312" w:hAnsi="宋体" w:eastAsia="仿宋_GB2312"/>
          <w:sz w:val="32"/>
          <w:szCs w:val="32"/>
        </w:rPr>
        <w:t>豪华款小包车</w:t>
      </w:r>
      <w:r>
        <w:rPr>
          <w:rFonts w:hint="eastAsia" w:ascii="仿宋_GB2312" w:hAnsi="仿宋_GB2312" w:eastAsia="仿宋_GB2312" w:cs="仿宋_GB2312"/>
          <w:sz w:val="32"/>
          <w:szCs w:val="32"/>
        </w:rPr>
        <w:t>存在</w:t>
      </w:r>
      <w:r>
        <w:rPr>
          <w:rFonts w:hint="eastAsia" w:ascii="仿宋_GB2312" w:hAnsi="宋体" w:eastAsia="仿宋_GB2312"/>
          <w:sz w:val="32"/>
          <w:szCs w:val="32"/>
        </w:rPr>
        <w:t>篡改鞍座及</w:t>
      </w:r>
      <w:r>
        <w:rPr>
          <w:rFonts w:hint="eastAsia" w:ascii="仿宋_GB2312" w:hAnsi="仿宋_GB2312" w:eastAsia="仿宋_GB2312" w:cs="仿宋_GB2312"/>
          <w:sz w:val="32"/>
          <w:szCs w:val="32"/>
        </w:rPr>
        <w:t>后衣架</w:t>
      </w:r>
      <w:r>
        <w:rPr>
          <w:rFonts w:hint="eastAsia" w:ascii="仿宋_GB2312" w:hAnsi="宋体" w:eastAsia="仿宋_GB2312"/>
          <w:sz w:val="32"/>
          <w:szCs w:val="32"/>
        </w:rPr>
        <w:t>情况，导致</w:t>
      </w:r>
      <w:r>
        <w:rPr>
          <w:rFonts w:hint="eastAsia" w:ascii="仿宋_GB2312" w:hAnsi="仿宋_GB2312" w:eastAsia="仿宋_GB2312" w:cs="仿宋_GB2312"/>
          <w:sz w:val="32"/>
          <w:szCs w:val="32"/>
        </w:rPr>
        <w:t>鞍座长度超过标准规定350mm，后衣架宽度超过标准规定175mm。</w:t>
      </w:r>
    </w:p>
    <w:p>
      <w:pPr>
        <w:tabs>
          <w:tab w:val="left" w:pos="1888"/>
        </w:tabs>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4.脚蹬间隙</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脚蹬间隙是指脚蹬到</w:t>
      </w:r>
      <w:r>
        <w:rPr>
          <w:rFonts w:ascii="仿宋_GB2312" w:hAnsi="仿宋_GB2312" w:eastAsia="仿宋_GB2312" w:cs="仿宋_GB2312"/>
          <w:sz w:val="32"/>
          <w:szCs w:val="32"/>
        </w:rPr>
        <w:t>地面距离及脚蹬到前轮胎或前泥板间的</w:t>
      </w:r>
      <w:r>
        <w:rPr>
          <w:rFonts w:hint="eastAsia" w:ascii="仿宋_GB2312" w:hAnsi="仿宋_GB2312" w:eastAsia="仿宋_GB2312" w:cs="仿宋_GB2312"/>
          <w:sz w:val="32"/>
          <w:szCs w:val="32"/>
        </w:rPr>
        <w:t>足趾间隙。标准要求</w:t>
      </w:r>
      <w:r>
        <w:rPr>
          <w:rFonts w:ascii="仿宋_GB2312" w:hAnsi="仿宋_GB2312" w:eastAsia="仿宋_GB2312" w:cs="仿宋_GB2312"/>
          <w:sz w:val="32"/>
          <w:szCs w:val="32"/>
        </w:rPr>
        <w:t>地面距离是车辆向一侧倾斜 250而脚蹬上的任何零部件不触及地面，</w:t>
      </w:r>
      <w:r>
        <w:rPr>
          <w:rFonts w:hint="eastAsia" w:ascii="仿宋_GB2312" w:hAnsi="仿宋_GB2312" w:eastAsia="仿宋_GB2312" w:cs="仿宋_GB2312"/>
          <w:sz w:val="32"/>
          <w:szCs w:val="32"/>
        </w:rPr>
        <w:t>足趾间隙是</w:t>
      </w:r>
      <w:r>
        <w:rPr>
          <w:rFonts w:ascii="仿宋_GB2312" w:hAnsi="仿宋_GB2312" w:eastAsia="仿宋_GB2312" w:cs="仿宋_GB2312"/>
          <w:sz w:val="32"/>
          <w:szCs w:val="32"/>
        </w:rPr>
        <w:t>脚蹬到前轮胎或前泥板(在它们转到任意角度时)之间的间隙应不小于89 mm</w:t>
      </w:r>
      <w:r>
        <w:rPr>
          <w:rFonts w:hint="eastAsia" w:ascii="仿宋_GB2312" w:hAnsi="仿宋_GB2312" w:eastAsia="仿宋_GB2312" w:cs="仿宋_GB2312"/>
          <w:sz w:val="32"/>
          <w:szCs w:val="32"/>
        </w:rPr>
        <w:t>。导致不合格的原因可能是销售时安装了非配套的长尺寸曲柄和</w:t>
      </w:r>
      <w:r>
        <w:rPr>
          <w:rFonts w:ascii="仿宋_GB2312" w:hAnsi="仿宋_GB2312" w:eastAsia="仿宋_GB2312" w:cs="仿宋_GB2312"/>
          <w:sz w:val="32"/>
          <w:szCs w:val="32"/>
        </w:rPr>
        <w:t>脚蹬，致使</w:t>
      </w:r>
      <w:r>
        <w:rPr>
          <w:rFonts w:hint="eastAsia" w:ascii="仿宋_GB2312" w:hAnsi="仿宋_GB2312" w:eastAsia="仿宋_GB2312" w:cs="仿宋_GB2312"/>
          <w:sz w:val="32"/>
          <w:szCs w:val="32"/>
        </w:rPr>
        <w:t>脚蹬间隙不符合标准要求。</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5.车速提示音</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车速提示音是指当车速达到15km/h时应持续发出提示音。标准要求车速提示音声压级范围为55</w:t>
      </w:r>
      <w:r>
        <w:rPr>
          <w:rFonts w:ascii="仿宋_GB2312" w:hAnsi="仿宋_GB2312" w:eastAsia="仿宋_GB2312" w:cs="仿宋_GB2312"/>
          <w:sz w:val="32"/>
          <w:szCs w:val="32"/>
        </w:rPr>
        <w:t>dB(A)</w:t>
      </w:r>
      <w:r>
        <w:rPr>
          <w:rFonts w:hint="eastAsia" w:ascii="仿宋_GB2312" w:hAnsi="仿宋_GB2312" w:eastAsia="仿宋_GB2312" w:cs="仿宋_GB2312"/>
          <w:sz w:val="32"/>
          <w:szCs w:val="32"/>
        </w:rPr>
        <w:t>-62</w:t>
      </w:r>
      <w:r>
        <w:rPr>
          <w:rFonts w:ascii="仿宋_GB2312" w:hAnsi="仿宋_GB2312" w:eastAsia="仿宋_GB2312" w:cs="仿宋_GB2312"/>
          <w:sz w:val="32"/>
          <w:szCs w:val="32"/>
        </w:rPr>
        <w:t>dB(A)</w:t>
      </w:r>
      <w:r>
        <w:rPr>
          <w:rFonts w:hint="eastAsia" w:ascii="仿宋_GB2312" w:hAnsi="仿宋_GB2312" w:eastAsia="仿宋_GB2312" w:cs="仿宋_GB2312"/>
          <w:sz w:val="32"/>
          <w:szCs w:val="32"/>
        </w:rPr>
        <w:t>。导致不合格的原因可能是提示音装置安装位置没有固化造成，也可能是车辆出厂时提示音装置声压调节不当造成，还发现个别车辆没有安装提示音装置。</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6.淋水涉水性能</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淋水涉水性能是指整车进行淋水涉水试验后仍能正常骑行，主要考核的是整车的防水性能和湿态下的绝缘性能。标准要求绝缘电阻值应≥1</w:t>
      </w:r>
      <w:r>
        <w:rPr>
          <w:rFonts w:ascii="仿宋_GB2312" w:hAnsi="仿宋_GB2312" w:eastAsia="仿宋_GB2312" w:cs="仿宋_GB2312"/>
          <w:sz w:val="32"/>
          <w:szCs w:val="32"/>
        </w:rPr>
        <w:t>MΩ</w:t>
      </w:r>
      <w:r>
        <w:rPr>
          <w:rFonts w:hint="eastAsia" w:ascii="仿宋_GB2312" w:hAnsi="仿宋_GB2312" w:eastAsia="仿宋_GB2312" w:cs="仿宋_GB2312"/>
          <w:sz w:val="32"/>
          <w:szCs w:val="32"/>
        </w:rPr>
        <w:t>。导致不合格的原因可能是部分企业对整车防水的意识不够，未采用防水等级高的零部件，线路接插件未做防水处理，</w:t>
      </w:r>
      <w:r>
        <w:rPr>
          <w:rFonts w:hint="eastAsia" w:ascii="仿宋_GB2312" w:eastAsia="仿宋_GB2312"/>
          <w:sz w:val="32"/>
          <w:szCs w:val="32"/>
        </w:rPr>
        <w:t>当产品进水后易导致带电件与金属壳体之前的爬电距离或者电气间隙缩小，</w:t>
      </w:r>
      <w:r>
        <w:rPr>
          <w:rFonts w:hint="eastAsia" w:ascii="仿宋_GB2312" w:hAnsi="宋体" w:eastAsia="仿宋_GB2312"/>
          <w:sz w:val="32"/>
          <w:szCs w:val="32"/>
        </w:rPr>
        <w:t>从而导致车辆</w:t>
      </w:r>
      <w:r>
        <w:rPr>
          <w:rFonts w:hint="eastAsia" w:ascii="仿宋_GB2312" w:hAnsi="仿宋_GB2312" w:eastAsia="仿宋_GB2312" w:cs="仿宋_GB2312"/>
          <w:sz w:val="32"/>
          <w:szCs w:val="32"/>
        </w:rPr>
        <w:t>绝缘电阻值小于1</w:t>
      </w:r>
      <w:r>
        <w:rPr>
          <w:rFonts w:ascii="仿宋_GB2312" w:hAnsi="仿宋_GB2312" w:eastAsia="仿宋_GB2312" w:cs="仿宋_GB2312"/>
          <w:sz w:val="32"/>
          <w:szCs w:val="32"/>
        </w:rPr>
        <w:t>MΩ</w:t>
      </w:r>
      <w:r>
        <w:rPr>
          <w:rFonts w:hint="eastAsia" w:ascii="仿宋_GB2312" w:hAnsi="仿宋_GB2312" w:eastAsia="仿宋_GB2312" w:cs="仿宋_GB2312"/>
          <w:sz w:val="32"/>
          <w:szCs w:val="32"/>
        </w:rPr>
        <w:t>。</w:t>
      </w:r>
    </w:p>
    <w:p>
      <w:pPr>
        <w:tabs>
          <w:tab w:val="left" w:pos="1888"/>
        </w:tabs>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7.短路保护</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短路保护是指</w:t>
      </w:r>
      <w:r>
        <w:rPr>
          <w:rFonts w:ascii="仿宋_GB2312" w:hAnsi="仿宋_GB2312" w:eastAsia="仿宋_GB2312" w:cs="仿宋_GB2312"/>
          <w:sz w:val="32"/>
          <w:szCs w:val="32"/>
        </w:rPr>
        <w:t>电动自行车的充电线路和电池输出端中应 当装有熔断器或断路器保护装置</w:t>
      </w:r>
      <w:r>
        <w:rPr>
          <w:rFonts w:hint="eastAsia" w:ascii="仿宋_GB2312" w:hAnsi="仿宋_GB2312" w:eastAsia="仿宋_GB2312" w:cs="仿宋_GB2312"/>
          <w:sz w:val="32"/>
          <w:szCs w:val="32"/>
        </w:rPr>
        <w:t>。标准要求</w:t>
      </w:r>
      <w:r>
        <w:rPr>
          <w:rFonts w:ascii="仿宋_GB2312" w:hAnsi="仿宋_GB2312" w:eastAsia="仿宋_GB2312" w:cs="仿宋_GB2312"/>
          <w:sz w:val="32"/>
          <w:szCs w:val="32"/>
        </w:rPr>
        <w:t>电动自行车的充电线路和电池输出端中应当装有熔断器或断路器保护装置，其规格、参数应当符合使用说明书或其他明示的规定</w:t>
      </w:r>
      <w:r>
        <w:rPr>
          <w:rFonts w:hint="eastAsia" w:ascii="仿宋_GB2312" w:hAnsi="仿宋_GB2312" w:eastAsia="仿宋_GB2312" w:cs="仿宋_GB2312"/>
          <w:sz w:val="32"/>
          <w:szCs w:val="32"/>
        </w:rPr>
        <w:t>。导致不合格的原因可能是个别车辆在</w:t>
      </w:r>
      <w:r>
        <w:rPr>
          <w:rFonts w:ascii="仿宋_GB2312" w:hAnsi="仿宋_GB2312" w:eastAsia="仿宋_GB2312" w:cs="仿宋_GB2312"/>
          <w:sz w:val="32"/>
          <w:szCs w:val="32"/>
        </w:rPr>
        <w:t>充电线路</w:t>
      </w:r>
      <w:r>
        <w:rPr>
          <w:rFonts w:hint="eastAsia" w:ascii="仿宋_GB2312" w:hAnsi="仿宋_GB2312" w:eastAsia="仿宋_GB2312" w:cs="仿宋_GB2312"/>
          <w:sz w:val="32"/>
          <w:szCs w:val="32"/>
        </w:rPr>
        <w:t>或</w:t>
      </w:r>
      <w:r>
        <w:rPr>
          <w:rFonts w:ascii="仿宋_GB2312" w:hAnsi="仿宋_GB2312" w:eastAsia="仿宋_GB2312" w:cs="仿宋_GB2312"/>
          <w:sz w:val="32"/>
          <w:szCs w:val="32"/>
        </w:rPr>
        <w:t>电池输出端中</w:t>
      </w:r>
      <w:r>
        <w:rPr>
          <w:rFonts w:hint="eastAsia" w:ascii="仿宋_GB2312" w:hAnsi="仿宋_GB2312" w:eastAsia="仿宋_GB2312" w:cs="仿宋_GB2312"/>
          <w:sz w:val="32"/>
          <w:szCs w:val="32"/>
        </w:rPr>
        <w:t>没</w:t>
      </w:r>
      <w:r>
        <w:rPr>
          <w:rFonts w:ascii="仿宋_GB2312" w:hAnsi="仿宋_GB2312" w:eastAsia="仿宋_GB2312" w:cs="仿宋_GB2312"/>
          <w:sz w:val="32"/>
          <w:szCs w:val="32"/>
        </w:rPr>
        <w:t>有</w:t>
      </w:r>
      <w:r>
        <w:rPr>
          <w:rFonts w:hint="eastAsia" w:ascii="仿宋_GB2312" w:hAnsi="仿宋_GB2312" w:eastAsia="仿宋_GB2312" w:cs="仿宋_GB2312"/>
          <w:sz w:val="32"/>
          <w:szCs w:val="32"/>
        </w:rPr>
        <w:t>安装</w:t>
      </w:r>
      <w:r>
        <w:rPr>
          <w:rFonts w:ascii="仿宋_GB2312" w:hAnsi="仿宋_GB2312" w:eastAsia="仿宋_GB2312" w:cs="仿宋_GB2312"/>
          <w:sz w:val="32"/>
          <w:szCs w:val="32"/>
        </w:rPr>
        <w:t>熔断器或断路器保护装置，个别车辆虽然安装保护装置，但其规格、参数与使用说明书电气原理上明示的规格、参数</w:t>
      </w:r>
      <w:r>
        <w:rPr>
          <w:rFonts w:hint="eastAsia" w:ascii="仿宋_GB2312" w:hAnsi="仿宋_GB2312" w:eastAsia="仿宋_GB2312" w:cs="仿宋_GB2312"/>
          <w:sz w:val="32"/>
          <w:szCs w:val="32"/>
        </w:rPr>
        <w:t>不</w:t>
      </w:r>
      <w:r>
        <w:rPr>
          <w:rFonts w:ascii="仿宋_GB2312" w:hAnsi="仿宋_GB2312" w:eastAsia="仿宋_GB2312" w:cs="仿宋_GB2312"/>
          <w:sz w:val="32"/>
          <w:szCs w:val="32"/>
        </w:rPr>
        <w:t>相符，如说明书上明示充电线路熔断器为</w:t>
      </w:r>
      <w:r>
        <w:rPr>
          <w:rFonts w:hint="eastAsia" w:ascii="仿宋_GB2312" w:hAnsi="仿宋_GB2312" w:eastAsia="仿宋_GB2312" w:cs="仿宋_GB2312"/>
          <w:sz w:val="32"/>
          <w:szCs w:val="32"/>
        </w:rPr>
        <w:t>5A,车辆所配实物为10A等。</w:t>
      </w:r>
    </w:p>
    <w:p>
      <w:pPr>
        <w:tabs>
          <w:tab w:val="left" w:pos="1888"/>
        </w:tabs>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8.反射器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反射器是指电动自行车应当装有后反射器、侧反射器和脚蹬反射器。标准要求</w:t>
      </w:r>
      <w:r>
        <w:rPr>
          <w:rFonts w:ascii="仿宋_GB2312" w:hAnsi="仿宋_GB2312" w:eastAsia="仿宋_GB2312" w:cs="仿宋_GB2312"/>
          <w:sz w:val="32"/>
          <w:szCs w:val="32"/>
        </w:rPr>
        <w:t>反射器光学要求应当符合 GB/T 31887.2 的规定。</w:t>
      </w:r>
      <w:r>
        <w:rPr>
          <w:rFonts w:hint="eastAsia" w:ascii="仿宋_GB2312" w:hAnsi="仿宋_GB2312" w:eastAsia="仿宋_GB2312" w:cs="仿宋_GB2312"/>
          <w:sz w:val="32"/>
          <w:szCs w:val="32"/>
        </w:rPr>
        <w:t>导致不合格的原因可能是个别车辆未安装后反射器或侧反射器，个别反射器光学性能不符合标准要求。</w:t>
      </w:r>
    </w:p>
    <w:p>
      <w:pPr>
        <w:tabs>
          <w:tab w:val="left" w:pos="1888"/>
        </w:tabs>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9.蓄电池防篡改</w:t>
      </w:r>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蓄电池防篡改是指电池盒是否预留扩展车载蓄电池的接口，电池盒与电池装配间隙是否超过规定要求。标准要求</w:t>
      </w:r>
      <w:r>
        <w:rPr>
          <w:rFonts w:ascii="仿宋_GB2312" w:hAnsi="仿宋_GB2312" w:eastAsia="仿宋_GB2312" w:cs="仿宋_GB2312"/>
          <w:sz w:val="32"/>
          <w:szCs w:val="32"/>
        </w:rPr>
        <w:t>蓄电池固定在电池组盒内，蓄电池与电池组盒合理匹配，电池组盒与电池盒安装位置合理匹配，防止改变电池容量或电压</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蓄电池与电池组盒侧壁的最大间隙 ≤30mm，且不晃动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电动自行车不得预留扩展车载蓄电池的接口；电动自行车不得有外设蓄电池托架</w:t>
      </w:r>
      <w:r>
        <w:rPr>
          <w:rFonts w:hint="eastAsia" w:ascii="仿宋_GB2312" w:hAnsi="仿宋_GB2312" w:eastAsia="仿宋_GB2312" w:cs="仿宋_GB2312"/>
          <w:sz w:val="32"/>
          <w:szCs w:val="32"/>
        </w:rPr>
        <w:t>。导致不合格的原因可能是市场上存在</w:t>
      </w:r>
      <w:r>
        <w:rPr>
          <w:rFonts w:hint="eastAsia" w:ascii="仿宋_GB2312" w:hAnsi="宋体" w:eastAsia="仿宋_GB2312"/>
          <w:sz w:val="32"/>
          <w:szCs w:val="32"/>
        </w:rPr>
        <w:t>商家和消费者没有意识到车辆需配原装电池售卖，从而导致蓄电池随意配装，造成</w:t>
      </w:r>
      <w:r>
        <w:rPr>
          <w:rFonts w:ascii="仿宋_GB2312" w:hAnsi="仿宋_GB2312" w:eastAsia="仿宋_GB2312" w:cs="仿宋_GB2312"/>
          <w:sz w:val="32"/>
          <w:szCs w:val="32"/>
        </w:rPr>
        <w:t>蓄电池与电池盒最大间隙</w:t>
      </w:r>
      <w:r>
        <w:rPr>
          <w:rFonts w:hint="eastAsia" w:ascii="仿宋_GB2312" w:hAnsi="仿宋_GB2312" w:eastAsia="仿宋_GB2312" w:cs="仿宋_GB2312"/>
          <w:sz w:val="32"/>
          <w:szCs w:val="32"/>
        </w:rPr>
        <w:t>超过</w:t>
      </w:r>
      <w:r>
        <w:rPr>
          <w:rFonts w:ascii="仿宋_GB2312" w:hAnsi="仿宋_GB2312" w:eastAsia="仿宋_GB2312" w:cs="仿宋_GB2312"/>
          <w:sz w:val="32"/>
          <w:szCs w:val="32"/>
        </w:rPr>
        <w:t>30mm，蓄电池晃动</w:t>
      </w:r>
      <w:r>
        <w:rPr>
          <w:rFonts w:hint="eastAsia" w:ascii="仿宋_GB2312" w:hAnsi="仿宋_GB2312" w:eastAsia="仿宋_GB2312" w:cs="仿宋_GB2312"/>
          <w:sz w:val="32"/>
          <w:szCs w:val="32"/>
        </w:rPr>
        <w:t>固定不稳等情况。</w:t>
      </w:r>
    </w:p>
    <w:p>
      <w:pPr>
        <w:pStyle w:val="26"/>
        <w:numPr>
          <w:ilvl w:val="255"/>
          <w:numId w:val="0"/>
        </w:numPr>
        <w:jc w:val="left"/>
        <w:outlineLvl w:val="1"/>
        <w:rPr>
          <w:rFonts w:ascii="仿宋_GB2312" w:hAnsi="仿宋_GB2312" w:eastAsia="仿宋_GB2312" w:cs="仿宋_GB2312"/>
          <w:sz w:val="32"/>
          <w:szCs w:val="32"/>
        </w:rPr>
      </w:pPr>
      <w:bookmarkStart w:id="65" w:name="_Toc8625"/>
      <w:bookmarkStart w:id="66" w:name="_Toc12782"/>
      <w:bookmarkStart w:id="67" w:name="_Toc18776"/>
      <w:bookmarkStart w:id="68" w:name="_Toc31477"/>
      <w:bookmarkStart w:id="69" w:name="_Toc26337"/>
      <w:bookmarkStart w:id="70" w:name="_Toc19758"/>
      <w:bookmarkStart w:id="71" w:name="_Toc31226"/>
      <w:r>
        <w:rPr>
          <w:rFonts w:hint="eastAsia" w:ascii="仿宋_GB2312" w:hAnsi="仿宋_GB2312" w:eastAsia="仿宋_GB2312" w:cs="仿宋_GB2312"/>
          <w:b/>
          <w:bCs/>
          <w:sz w:val="32"/>
          <w:szCs w:val="32"/>
        </w:rPr>
        <w:t>（二）深圳市监督抽查主要不合格项目统计</w:t>
      </w:r>
      <w:bookmarkEnd w:id="65"/>
      <w:bookmarkEnd w:id="66"/>
      <w:bookmarkEnd w:id="67"/>
      <w:bookmarkEnd w:id="68"/>
      <w:bookmarkEnd w:id="69"/>
      <w:bookmarkEnd w:id="70"/>
      <w:bookmarkEnd w:id="71"/>
    </w:p>
    <w:p>
      <w:pPr>
        <w:tabs>
          <w:tab w:val="left" w:pos="1888"/>
        </w:tabs>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统计2019年至2021年深圳市监督抽查主要不合格项目占比，从表中可知短路保护、车速提示音、使用说明书、车速限值、尺寸限值项目不合格率均较高。</w:t>
      </w:r>
    </w:p>
    <w:p>
      <w:pPr>
        <w:tabs>
          <w:tab w:val="left" w:pos="1888"/>
        </w:tabs>
        <w:ind w:firstLine="420" w:firstLineChars="15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表</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.2019年至2021不合格项目统计</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7"/>
        <w:gridCol w:w="1880"/>
        <w:gridCol w:w="1730"/>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blHeader/>
        </w:trPr>
        <w:tc>
          <w:tcPr>
            <w:tcW w:w="3027" w:type="dxa"/>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不合格项目名称</w:t>
            </w:r>
          </w:p>
        </w:tc>
        <w:tc>
          <w:tcPr>
            <w:tcW w:w="1880" w:type="dxa"/>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抽查样品数</w:t>
            </w:r>
          </w:p>
        </w:tc>
        <w:tc>
          <w:tcPr>
            <w:tcW w:w="1730" w:type="dxa"/>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检验不合格数</w:t>
            </w:r>
          </w:p>
        </w:tc>
        <w:tc>
          <w:tcPr>
            <w:tcW w:w="1885" w:type="dxa"/>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不合格率（%）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短路保护</w:t>
            </w:r>
          </w:p>
        </w:tc>
        <w:tc>
          <w:tcPr>
            <w:tcW w:w="1880" w:type="dxa"/>
            <w:shd w:val="clear" w:color="auto" w:fill="auto"/>
            <w:noWrap/>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26</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车速提示音</w:t>
            </w:r>
          </w:p>
        </w:tc>
        <w:tc>
          <w:tcPr>
            <w:tcW w:w="1880" w:type="dxa"/>
            <w:shd w:val="clear" w:color="auto" w:fill="auto"/>
            <w:noWrap/>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14</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使用说明书</w:t>
            </w:r>
          </w:p>
        </w:tc>
        <w:tc>
          <w:tcPr>
            <w:tcW w:w="1880" w:type="dxa"/>
            <w:shd w:val="clear" w:color="auto" w:fill="auto"/>
            <w:noWrap/>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14</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车速限值</w:t>
            </w:r>
          </w:p>
        </w:tc>
        <w:tc>
          <w:tcPr>
            <w:tcW w:w="188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尺寸限值</w:t>
            </w:r>
          </w:p>
        </w:tc>
        <w:tc>
          <w:tcPr>
            <w:tcW w:w="1880" w:type="dxa"/>
            <w:shd w:val="clear" w:color="auto" w:fill="auto"/>
            <w:noWrap/>
            <w:vAlign w:val="center"/>
          </w:tcPr>
          <w:p>
            <w:pPr>
              <w:jc w:val="center"/>
              <w:rPr>
                <w:rFonts w:ascii="仿宋" w:hAnsi="仿宋" w:eastAsia="仿宋" w:cs="仿宋"/>
                <w:kern w:val="0"/>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蓄电池防篡改</w:t>
            </w:r>
          </w:p>
        </w:tc>
        <w:tc>
          <w:tcPr>
            <w:tcW w:w="1880" w:type="dxa"/>
            <w:shd w:val="clear" w:color="auto" w:fill="auto"/>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7</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vAlign w:val="center"/>
          </w:tcPr>
          <w:p>
            <w:pPr>
              <w:widowControl/>
              <w:jc w:val="center"/>
              <w:rPr>
                <w:rFonts w:ascii="仿宋" w:hAnsi="仿宋" w:eastAsia="仿宋" w:cs="仿宋"/>
                <w:kern w:val="0"/>
                <w:sz w:val="24"/>
                <w:highlight w:val="yellow"/>
              </w:rPr>
            </w:pPr>
            <w:r>
              <w:rPr>
                <w:rFonts w:hint="eastAsia" w:ascii="仿宋" w:hAnsi="仿宋" w:eastAsia="仿宋" w:cs="仿宋"/>
                <w:kern w:val="0"/>
                <w:sz w:val="24"/>
              </w:rPr>
              <w:t>反射器</w:t>
            </w:r>
          </w:p>
        </w:tc>
        <w:tc>
          <w:tcPr>
            <w:tcW w:w="1880" w:type="dxa"/>
            <w:shd w:val="clear" w:color="auto" w:fill="auto"/>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7</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整车质量</w:t>
            </w:r>
          </w:p>
        </w:tc>
        <w:tc>
          <w:tcPr>
            <w:tcW w:w="1880" w:type="dxa"/>
            <w:shd w:val="clear" w:color="auto" w:fill="auto"/>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脚蹬间隙</w:t>
            </w:r>
          </w:p>
        </w:tc>
        <w:tc>
          <w:tcPr>
            <w:tcW w:w="1880" w:type="dxa"/>
            <w:shd w:val="clear" w:color="auto" w:fill="auto"/>
            <w:vAlign w:val="center"/>
          </w:tcPr>
          <w:p>
            <w:pPr>
              <w:jc w:val="center"/>
              <w:rPr>
                <w:rFonts w:ascii="仿宋" w:hAnsi="仿宋" w:eastAsia="仿宋" w:cs="仿宋"/>
                <w:kern w:val="0"/>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淋水涉水性能</w:t>
            </w:r>
          </w:p>
        </w:tc>
        <w:tc>
          <w:tcPr>
            <w:tcW w:w="1880" w:type="dxa"/>
            <w:shd w:val="clear" w:color="auto" w:fill="auto"/>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欠压、过流保护</w:t>
            </w:r>
          </w:p>
        </w:tc>
        <w:tc>
          <w:tcPr>
            <w:tcW w:w="1880" w:type="dxa"/>
            <w:shd w:val="clear" w:color="auto" w:fill="auto"/>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noWrap/>
            <w:vAlign w:val="center"/>
          </w:tcPr>
          <w:p>
            <w:pPr>
              <w:widowControl/>
              <w:jc w:val="center"/>
              <w:rPr>
                <w:rFonts w:ascii="仿宋" w:hAnsi="仿宋" w:eastAsia="仿宋" w:cs="仿宋"/>
                <w:kern w:val="0"/>
                <w:sz w:val="24"/>
                <w:highlight w:val="yellow"/>
              </w:rPr>
            </w:pPr>
            <w:r>
              <w:rPr>
                <w:rFonts w:hint="eastAsia" w:ascii="仿宋" w:hAnsi="仿宋" w:eastAsia="仿宋" w:cs="仿宋"/>
                <w:kern w:val="0"/>
                <w:sz w:val="24"/>
              </w:rPr>
              <w:t>照明</w:t>
            </w:r>
          </w:p>
        </w:tc>
        <w:tc>
          <w:tcPr>
            <w:tcW w:w="1880" w:type="dxa"/>
            <w:shd w:val="clear" w:color="auto" w:fill="auto"/>
            <w:noWrap/>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3027"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制动性能</w:t>
            </w:r>
          </w:p>
        </w:tc>
        <w:tc>
          <w:tcPr>
            <w:tcW w:w="1880" w:type="dxa"/>
            <w:shd w:val="clear" w:color="auto" w:fill="auto"/>
            <w:noWrap/>
            <w:vAlign w:val="center"/>
          </w:tcPr>
          <w:p>
            <w:pPr>
              <w:jc w:val="center"/>
              <w:rPr>
                <w:rFonts w:ascii="仿宋" w:hAnsi="仿宋" w:eastAsia="仿宋" w:cs="仿宋"/>
                <w:sz w:val="24"/>
              </w:rPr>
            </w:pPr>
            <w:r>
              <w:rPr>
                <w:rFonts w:hint="eastAsia" w:ascii="仿宋" w:hAnsi="仿宋" w:eastAsia="仿宋" w:cs="仿宋"/>
                <w:kern w:val="0"/>
                <w:sz w:val="24"/>
              </w:rPr>
              <w:t>153</w:t>
            </w:r>
          </w:p>
        </w:tc>
        <w:tc>
          <w:tcPr>
            <w:tcW w:w="1730"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0</w:t>
            </w:r>
          </w:p>
        </w:tc>
        <w:tc>
          <w:tcPr>
            <w:tcW w:w="1885" w:type="dxa"/>
            <w:shd w:val="clear" w:color="auto" w:fill="auto"/>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0.0%</w:t>
            </w:r>
          </w:p>
        </w:tc>
      </w:tr>
    </w:tbl>
    <w:p>
      <w:pPr>
        <w:tabs>
          <w:tab w:val="left" w:pos="1888"/>
        </w:tabs>
        <w:jc w:val="left"/>
        <w:outlineLvl w:val="0"/>
        <w:rPr>
          <w:rFonts w:ascii="黑体" w:hAnsi="黑体" w:eastAsia="黑体" w:cs="黑体"/>
          <w:sz w:val="32"/>
          <w:szCs w:val="32"/>
        </w:rPr>
      </w:pPr>
      <w:bookmarkStart w:id="72" w:name="_Toc31938"/>
      <w:bookmarkStart w:id="73" w:name="_Toc31281"/>
      <w:bookmarkStart w:id="74" w:name="_Toc2286"/>
      <w:bookmarkStart w:id="75" w:name="_Toc17144"/>
      <w:bookmarkStart w:id="76" w:name="_Toc28777"/>
      <w:bookmarkStart w:id="77" w:name="_Toc16470"/>
      <w:bookmarkStart w:id="78" w:name="_Toc11368"/>
      <w:r>
        <w:rPr>
          <w:rFonts w:hint="eastAsia" w:ascii="黑体" w:hAnsi="黑体" w:eastAsia="黑体" w:cs="黑体"/>
          <w:sz w:val="32"/>
          <w:szCs w:val="32"/>
        </w:rPr>
        <w:t>四、福田区电动自行车企业帮扶情况</w:t>
      </w:r>
      <w:bookmarkEnd w:id="72"/>
      <w:bookmarkEnd w:id="73"/>
      <w:bookmarkEnd w:id="74"/>
      <w:bookmarkEnd w:id="75"/>
      <w:bookmarkEnd w:id="76"/>
      <w:bookmarkEnd w:id="77"/>
      <w:bookmarkEnd w:id="78"/>
      <w:r>
        <w:rPr>
          <w:rFonts w:hint="eastAsia" w:ascii="黑体" w:hAnsi="黑体" w:eastAsia="黑体" w:cs="黑体"/>
          <w:sz w:val="32"/>
          <w:szCs w:val="32"/>
        </w:rPr>
        <w:t xml:space="preserve"> </w:t>
      </w:r>
    </w:p>
    <w:p>
      <w:pPr>
        <w:pStyle w:val="26"/>
        <w:numPr>
          <w:ilvl w:val="255"/>
          <w:numId w:val="0"/>
        </w:numPr>
        <w:jc w:val="left"/>
        <w:outlineLvl w:val="1"/>
        <w:rPr>
          <w:rFonts w:ascii="仿宋_GB2312" w:hAnsi="仿宋_GB2312" w:eastAsia="仿宋_GB2312" w:cs="仿宋_GB2312"/>
          <w:b/>
          <w:bCs/>
          <w:sz w:val="32"/>
          <w:szCs w:val="32"/>
        </w:rPr>
      </w:pPr>
      <w:bookmarkStart w:id="79" w:name="_Toc13818"/>
      <w:bookmarkStart w:id="80" w:name="_Toc31368"/>
      <w:bookmarkStart w:id="81" w:name="_Toc7468"/>
      <w:bookmarkStart w:id="82" w:name="_Toc22061"/>
      <w:bookmarkStart w:id="83" w:name="_Toc28125"/>
      <w:bookmarkStart w:id="84" w:name="_Toc6950"/>
      <w:bookmarkStart w:id="85" w:name="_Toc9636"/>
      <w:r>
        <w:rPr>
          <w:rFonts w:hint="eastAsia" w:ascii="仿宋_GB2312" w:hAnsi="仿宋_GB2312" w:eastAsia="仿宋_GB2312" w:cs="仿宋_GB2312"/>
          <w:b/>
          <w:bCs/>
          <w:sz w:val="32"/>
          <w:szCs w:val="32"/>
        </w:rPr>
        <w:t>（一）基本情况</w:t>
      </w:r>
      <w:bookmarkEnd w:id="79"/>
      <w:bookmarkEnd w:id="80"/>
      <w:bookmarkEnd w:id="81"/>
      <w:bookmarkEnd w:id="82"/>
      <w:bookmarkEnd w:id="83"/>
      <w:bookmarkEnd w:id="84"/>
      <w:bookmarkEnd w:id="85"/>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更好的服务福田区电动自行车企业快速健康发展，加快推动产品质量提升，开展电动自行车产品销售企业“一对一”技术帮扶，走访调研，核查门店，对不符合产品提出整改意见和措施，最终达到提升全区电动自行车产品质量的效果，增强企业竞争力和经济效益。</w:t>
      </w:r>
      <w:r>
        <w:rPr>
          <w:rFonts w:hint="eastAsia" w:ascii="仿宋_GB2312" w:hAnsi="仿宋_GB2312" w:eastAsia="仿宋_GB2312" w:cs="仿宋_GB2312"/>
          <w:sz w:val="32"/>
          <w:szCs w:val="32"/>
          <w:lang w:val="en-US" w:eastAsia="zh-CN"/>
        </w:rPr>
        <w:t>通过分析2022年福田区电动自行车快检情况，</w:t>
      </w:r>
      <w:r>
        <w:rPr>
          <w:rFonts w:hint="eastAsia" w:ascii="仿宋_GB2312" w:hAnsi="仿宋_GB2312" w:eastAsia="仿宋_GB2312" w:cs="仿宋_GB2312"/>
          <w:sz w:val="32"/>
          <w:szCs w:val="32"/>
          <w:lang w:eastAsia="zh-CN"/>
        </w:rPr>
        <w:t>市市场监管局福田局</w:t>
      </w:r>
      <w:r>
        <w:rPr>
          <w:rFonts w:hint="eastAsia" w:ascii="仿宋_GB2312" w:hAnsi="仿宋_GB2312" w:eastAsia="仿宋_GB2312" w:cs="仿宋_GB2312"/>
          <w:sz w:val="32"/>
          <w:szCs w:val="32"/>
        </w:rPr>
        <w:t>联合</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检测院开展“一对一”技术帮扶，共走访</w:t>
      </w:r>
      <w:r>
        <w:rPr>
          <w:rFonts w:hint="eastAsia" w:ascii="仿宋_GB2312" w:hAnsi="仿宋_GB2312" w:eastAsia="仿宋_GB2312" w:cs="仿宋_GB2312"/>
          <w:sz w:val="32"/>
          <w:szCs w:val="32"/>
          <w:lang w:val="en-US" w:eastAsia="zh-CN"/>
        </w:rPr>
        <w:t>帮扶</w:t>
      </w:r>
      <w:r>
        <w:rPr>
          <w:rFonts w:hint="eastAsia" w:ascii="仿宋_GB2312" w:hAnsi="仿宋_GB2312" w:eastAsia="仿宋_GB2312" w:cs="仿宋_GB2312"/>
          <w:sz w:val="32"/>
          <w:szCs w:val="32"/>
        </w:rPr>
        <w:t>福保街道，福田街道，华富街道，华强北街道，梅林街道，南园街道，沙头街道，香蜜湖街道，园岭街道9个街道的12家电动自行车销售门店，核查批次共计60批次。本次核查项目包括3C标志、铭牌、证书一致性、整车编码、电机编码、合格证、说明书、蓄电池、充电器、控制器、短路保护、初判有无不合格项、有无销售电动摩托车、有无销售电动三轮车、是否带牌销售。</w:t>
      </w:r>
    </w:p>
    <w:p>
      <w:pPr>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经走访核查，共发现16批次电动自行车不符合要求</w:t>
      </w:r>
      <w:r>
        <w:rPr>
          <w:rFonts w:ascii="仿宋_GB2312" w:hAnsi="仿宋_GB2312" w:eastAsia="仿宋_GB2312" w:cs="仿宋_GB2312"/>
          <w:sz w:val="32"/>
          <w:szCs w:val="32"/>
        </w:rPr>
        <w:t>，不符合项目为</w:t>
      </w:r>
      <w:r>
        <w:rPr>
          <w:rFonts w:hint="eastAsia" w:ascii="仿宋_GB2312" w:hAnsi="仿宋_GB2312" w:eastAsia="仿宋_GB2312" w:cs="仿宋_GB2312"/>
          <w:sz w:val="32"/>
          <w:szCs w:val="32"/>
        </w:rPr>
        <w:t>鞍座长度。本次核查未发现销售电动摩托车产品和电动三轮车产品。</w:t>
      </w:r>
    </w:p>
    <w:p>
      <w:pPr>
        <w:rPr>
          <w:rFonts w:ascii="仿宋_GB2312" w:hAnsi="仿宋_GB2312" w:eastAsia="仿宋_GB2312" w:cs="仿宋_GB2312"/>
          <w:sz w:val="32"/>
          <w:szCs w:val="32"/>
        </w:rPr>
      </w:pPr>
    </w:p>
    <w:p>
      <w:pPr>
        <w:rPr>
          <w:rFonts w:ascii="仿宋_GB2312" w:hAnsi="仿宋_GB2312" w:eastAsia="仿宋_GB2312" w:cs="仿宋_GB2312"/>
          <w:b/>
          <w:bCs/>
          <w:sz w:val="28"/>
          <w:szCs w:val="28"/>
        </w:rPr>
      </w:pPr>
      <w:r>
        <w:rPr>
          <w:rFonts w:hint="eastAsia" w:ascii="仿宋_GB2312" w:hAnsi="仿宋_GB2312" w:eastAsia="仿宋_GB2312" w:cs="仿宋_GB2312"/>
          <w:sz w:val="32"/>
          <w:szCs w:val="32"/>
        </w:rPr>
        <w:t>核查现场照片：</w:t>
      </w:r>
    </w:p>
    <w:p>
      <w:pPr>
        <w:widowControl/>
        <w:jc w:val="center"/>
        <w:rPr>
          <w:rFonts w:ascii="宋体" w:hAnsi="宋体" w:eastAsia="宋体" w:cs="宋体"/>
          <w:kern w:val="0"/>
          <w:sz w:val="24"/>
        </w:rPr>
      </w:pPr>
      <w:r>
        <w:rPr>
          <w:rFonts w:ascii="宋体" w:hAnsi="宋体" w:eastAsia="宋体" w:cs="宋体"/>
          <w:kern w:val="0"/>
          <w:sz w:val="24"/>
        </w:rPr>
        <w:drawing>
          <wp:inline distT="0" distB="0" distL="0" distR="0">
            <wp:extent cx="5108575" cy="3558540"/>
            <wp:effectExtent l="0" t="0" r="15875" b="3810"/>
            <wp:docPr id="8" name="图片 8" descr="C:\Users\yanghj00173\AppData\Roaming\Tencent\Users\605865236\QQ\WinTemp\RichOle\(WYNT]23ZM0SV4}ESL8ZH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yanghj00173\AppData\Roaming\Tencent\Users\605865236\QQ\WinTemp\RichOle\(WYNT]23ZM0SV4}ESL8ZHQ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575" cy="3558540"/>
                    </a:xfrm>
                    <a:prstGeom prst="rect">
                      <a:avLst/>
                    </a:prstGeom>
                    <a:noFill/>
                    <a:ln>
                      <a:noFill/>
                    </a:ln>
                  </pic:spPr>
                </pic:pic>
              </a:graphicData>
            </a:graphic>
          </wp:inline>
        </w:drawing>
      </w:r>
    </w:p>
    <w:p>
      <w:pPr>
        <w:jc w:val="center"/>
        <w:rPr>
          <w:rFonts w:ascii="宋体" w:hAnsi="宋体" w:eastAsia="宋体" w:cs="宋体"/>
          <w:kern w:val="0"/>
          <w:sz w:val="24"/>
        </w:rPr>
      </w:pPr>
      <w:r>
        <w:rPr>
          <w:rFonts w:hint="eastAsia" w:ascii="仿宋_GB2312" w:hAnsi="仿宋_GB2312" w:eastAsia="仿宋_GB2312" w:cs="仿宋_GB2312"/>
          <w:sz w:val="28"/>
          <w:szCs w:val="28"/>
        </w:rPr>
        <w:t>图1核查车辆铭牌</w:t>
      </w:r>
    </w:p>
    <w:p>
      <w:pPr>
        <w:widowControl/>
        <w:jc w:val="center"/>
        <w:rPr>
          <w:rFonts w:ascii="宋体" w:hAnsi="宋体" w:eastAsia="宋体" w:cs="宋体"/>
          <w:kern w:val="0"/>
          <w:sz w:val="24"/>
        </w:rPr>
      </w:pPr>
      <w:r>
        <w:rPr>
          <w:rFonts w:ascii="宋体" w:hAnsi="宋体" w:eastAsia="宋体" w:cs="宋体"/>
          <w:kern w:val="0"/>
          <w:sz w:val="24"/>
        </w:rPr>
        <w:drawing>
          <wp:inline distT="0" distB="0" distL="0" distR="0">
            <wp:extent cx="5151120" cy="3996690"/>
            <wp:effectExtent l="0" t="0" r="11430" b="3810"/>
            <wp:docPr id="6" name="图片 6" descr="C:\Users\yanghj00173\AppData\Roaming\Tencent\Users\605865236\QQ\WinTemp\RichOle\QYNJF$W%4R{4)Q5{{3{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yanghj00173\AppData\Roaming\Tencent\Users\605865236\QQ\WinTemp\RichOle\QYNJF$W%4R{4)Q5{{3{4$[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51120" cy="3996690"/>
                    </a:xfrm>
                    <a:prstGeom prst="rect">
                      <a:avLst/>
                    </a:prstGeom>
                    <a:noFill/>
                    <a:ln>
                      <a:noFill/>
                    </a:ln>
                  </pic:spPr>
                </pic:pic>
              </a:graphicData>
            </a:graphic>
          </wp:inline>
        </w:drawing>
      </w:r>
    </w:p>
    <w:p>
      <w:pPr>
        <w:ind w:firstLine="2800" w:firstLineChars="1000"/>
        <w:rPr>
          <w:rFonts w:ascii="宋体" w:hAnsi="宋体" w:eastAsia="宋体" w:cs="宋体"/>
          <w:kern w:val="0"/>
          <w:sz w:val="28"/>
          <w:szCs w:val="28"/>
        </w:rPr>
      </w:pPr>
      <w:r>
        <w:rPr>
          <w:rFonts w:hint="eastAsia" w:ascii="仿宋_GB2312" w:hAnsi="仿宋_GB2312" w:eastAsia="仿宋_GB2312" w:cs="仿宋_GB2312"/>
          <w:sz w:val="28"/>
          <w:szCs w:val="28"/>
        </w:rPr>
        <w:t>图2检查控制器参数</w:t>
      </w:r>
    </w:p>
    <w:p>
      <w:pPr>
        <w:widowControl/>
        <w:jc w:val="left"/>
        <w:rPr>
          <w:rFonts w:ascii="宋体" w:hAnsi="宋体" w:eastAsia="宋体" w:cs="宋体"/>
          <w:kern w:val="0"/>
          <w:sz w:val="24"/>
        </w:rPr>
      </w:pPr>
    </w:p>
    <w:p>
      <w:pPr>
        <w:pStyle w:val="26"/>
        <w:numPr>
          <w:ilvl w:val="255"/>
          <w:numId w:val="0"/>
        </w:numPr>
        <w:jc w:val="left"/>
        <w:outlineLvl w:val="1"/>
        <w:rPr>
          <w:rFonts w:ascii="仿宋_GB2312" w:hAnsi="仿宋_GB2312" w:eastAsia="仿宋_GB2312" w:cs="仿宋_GB2312"/>
          <w:sz w:val="32"/>
          <w:szCs w:val="32"/>
        </w:rPr>
      </w:pPr>
      <w:bookmarkStart w:id="86" w:name="_Toc11314"/>
      <w:bookmarkStart w:id="87" w:name="_Toc622"/>
      <w:bookmarkStart w:id="88" w:name="_Toc14274"/>
      <w:bookmarkStart w:id="89" w:name="_Toc5826"/>
      <w:bookmarkStart w:id="90" w:name="_Toc2655"/>
      <w:bookmarkStart w:id="91" w:name="_Toc15384"/>
      <w:bookmarkStart w:id="92" w:name="_Toc8451"/>
      <w:r>
        <w:rPr>
          <w:rFonts w:hint="eastAsia" w:ascii="仿宋_GB2312" w:hAnsi="仿宋_GB2312" w:eastAsia="仿宋_GB2312" w:cs="仿宋_GB2312"/>
          <w:b/>
          <w:bCs/>
          <w:sz w:val="32"/>
          <w:szCs w:val="32"/>
        </w:rPr>
        <w:t>（二）核查情况分析</w:t>
      </w:r>
      <w:bookmarkEnd w:id="86"/>
      <w:bookmarkEnd w:id="87"/>
      <w:bookmarkEnd w:id="88"/>
      <w:bookmarkEnd w:id="89"/>
      <w:bookmarkEnd w:id="90"/>
      <w:bookmarkEnd w:id="91"/>
      <w:bookmarkEnd w:id="92"/>
      <w:r>
        <w:rPr>
          <w:rFonts w:hint="eastAsia" w:ascii="仿宋_GB2312" w:hAnsi="仿宋_GB2312" w:eastAsia="仿宋_GB2312" w:cs="仿宋_GB2312"/>
          <w:sz w:val="32"/>
          <w:szCs w:val="32"/>
        </w:rPr>
        <w:t xml:space="preserve">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本次核查共走访福田区9个街道，12家电动自行车销售门店，共计60批次。发现7家销售门店的16批次不符合要求，不符合率26.7%，不符合的销售门店数占比58.3%，不符合项目均为鞍座长度，具体如下：</w:t>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表</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.门店核查情况统计</w:t>
      </w:r>
    </w:p>
    <w:tbl>
      <w:tblPr>
        <w:tblStyle w:val="13"/>
        <w:tblW w:w="9420"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175"/>
        <w:gridCol w:w="975"/>
        <w:gridCol w:w="1588"/>
        <w:gridCol w:w="1459"/>
        <w:gridCol w:w="12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4175" w:type="dxa"/>
            <w:vAlign w:val="center"/>
          </w:tcPr>
          <w:p>
            <w:pPr>
              <w:tabs>
                <w:tab w:val="left" w:pos="1888"/>
              </w:tabs>
              <w:jc w:val="center"/>
              <w:rPr>
                <w:rFonts w:ascii="仿宋" w:hAnsi="仿宋" w:eastAsia="仿宋" w:cs="仿宋"/>
                <w:b/>
                <w:sz w:val="24"/>
              </w:rPr>
            </w:pPr>
            <w:r>
              <w:rPr>
                <w:rFonts w:hint="eastAsia" w:ascii="仿宋" w:hAnsi="仿宋" w:eastAsia="仿宋" w:cs="仿宋"/>
                <w:b/>
                <w:sz w:val="24"/>
              </w:rPr>
              <w:t>销售门店名称</w:t>
            </w:r>
          </w:p>
        </w:tc>
        <w:tc>
          <w:tcPr>
            <w:tcW w:w="975" w:type="dxa"/>
            <w:vAlign w:val="center"/>
          </w:tcPr>
          <w:p>
            <w:pPr>
              <w:tabs>
                <w:tab w:val="left" w:pos="1888"/>
              </w:tabs>
              <w:jc w:val="center"/>
              <w:rPr>
                <w:rFonts w:ascii="仿宋" w:hAnsi="仿宋" w:eastAsia="仿宋" w:cs="仿宋"/>
                <w:b/>
                <w:sz w:val="24"/>
              </w:rPr>
            </w:pPr>
            <w:r>
              <w:rPr>
                <w:rFonts w:hint="eastAsia" w:ascii="仿宋" w:hAnsi="仿宋" w:eastAsia="仿宋" w:cs="仿宋"/>
                <w:b/>
                <w:sz w:val="24"/>
              </w:rPr>
              <w:t>不符合批次数</w:t>
            </w:r>
          </w:p>
        </w:tc>
        <w:tc>
          <w:tcPr>
            <w:tcW w:w="1588" w:type="dxa"/>
            <w:vAlign w:val="center"/>
          </w:tcPr>
          <w:p>
            <w:pPr>
              <w:tabs>
                <w:tab w:val="left" w:pos="1888"/>
              </w:tabs>
              <w:jc w:val="center"/>
              <w:rPr>
                <w:rFonts w:ascii="仿宋" w:hAnsi="仿宋" w:eastAsia="仿宋" w:cs="仿宋"/>
                <w:b/>
                <w:sz w:val="24"/>
              </w:rPr>
            </w:pPr>
            <w:r>
              <w:rPr>
                <w:rFonts w:hint="eastAsia" w:ascii="仿宋" w:hAnsi="仿宋" w:eastAsia="仿宋" w:cs="仿宋"/>
                <w:b/>
                <w:sz w:val="24"/>
              </w:rPr>
              <w:t>不符合项目</w:t>
            </w:r>
          </w:p>
        </w:tc>
        <w:tc>
          <w:tcPr>
            <w:tcW w:w="1459" w:type="dxa"/>
            <w:vAlign w:val="center"/>
          </w:tcPr>
          <w:p>
            <w:pPr>
              <w:tabs>
                <w:tab w:val="left" w:pos="1888"/>
              </w:tabs>
              <w:jc w:val="center"/>
              <w:rPr>
                <w:rFonts w:ascii="仿宋" w:hAnsi="仿宋" w:eastAsia="仿宋" w:cs="仿宋"/>
                <w:b/>
                <w:sz w:val="24"/>
              </w:rPr>
            </w:pPr>
            <w:r>
              <w:rPr>
                <w:rFonts w:hint="eastAsia" w:ascii="仿宋" w:hAnsi="仿宋" w:eastAsia="仿宋" w:cs="仿宋"/>
                <w:b/>
                <w:sz w:val="24"/>
              </w:rPr>
              <w:t>所在街道</w:t>
            </w:r>
          </w:p>
        </w:tc>
        <w:tc>
          <w:tcPr>
            <w:tcW w:w="1223" w:type="dxa"/>
            <w:vAlign w:val="center"/>
          </w:tcPr>
          <w:p>
            <w:pPr>
              <w:tabs>
                <w:tab w:val="left" w:pos="1888"/>
              </w:tabs>
              <w:jc w:val="center"/>
              <w:rPr>
                <w:rFonts w:ascii="仿宋" w:hAnsi="仿宋" w:eastAsia="仿宋" w:cs="仿宋"/>
                <w:b/>
                <w:sz w:val="24"/>
              </w:rPr>
            </w:pPr>
            <w:r>
              <w:rPr>
                <w:rFonts w:hint="eastAsia" w:ascii="仿宋" w:hAnsi="仿宋" w:eastAsia="仿宋" w:cs="仿宋"/>
                <w:b/>
                <w:sz w:val="24"/>
              </w:rPr>
              <w:t>是否经销摩托车三轮车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b/>
                <w:sz w:val="24"/>
              </w:rPr>
            </w:pPr>
            <w:r>
              <w:rPr>
                <w:rFonts w:hint="eastAsia" w:ascii="仿宋" w:hAnsi="仿宋" w:eastAsia="仿宋" w:cs="仿宋"/>
                <w:sz w:val="24"/>
              </w:rPr>
              <w:t>深圳市福田区永新莱特电动车经营部</w:t>
            </w:r>
          </w:p>
        </w:tc>
        <w:tc>
          <w:tcPr>
            <w:tcW w:w="975"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4</w:t>
            </w:r>
          </w:p>
        </w:tc>
        <w:tc>
          <w:tcPr>
            <w:tcW w:w="1588"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鞍座长度</w:t>
            </w:r>
          </w:p>
        </w:tc>
        <w:tc>
          <w:tcPr>
            <w:tcW w:w="1459"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梅林街道</w:t>
            </w:r>
          </w:p>
        </w:tc>
        <w:tc>
          <w:tcPr>
            <w:tcW w:w="1223"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深圳市维富贸易咨询商行</w:t>
            </w:r>
          </w:p>
        </w:tc>
        <w:tc>
          <w:tcPr>
            <w:tcW w:w="975"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4</w:t>
            </w:r>
          </w:p>
        </w:tc>
        <w:tc>
          <w:tcPr>
            <w:tcW w:w="1588"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鞍座长度</w:t>
            </w:r>
          </w:p>
        </w:tc>
        <w:tc>
          <w:tcPr>
            <w:tcW w:w="1459"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南园街道</w:t>
            </w:r>
          </w:p>
        </w:tc>
        <w:tc>
          <w:tcPr>
            <w:tcW w:w="1223"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深圳市福田区天之蓝五金机械商行</w:t>
            </w:r>
          </w:p>
        </w:tc>
        <w:tc>
          <w:tcPr>
            <w:tcW w:w="975"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2</w:t>
            </w:r>
          </w:p>
        </w:tc>
        <w:tc>
          <w:tcPr>
            <w:tcW w:w="1588"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鞍座长度</w:t>
            </w:r>
          </w:p>
        </w:tc>
        <w:tc>
          <w:tcPr>
            <w:tcW w:w="1459"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福田街道</w:t>
            </w:r>
          </w:p>
        </w:tc>
        <w:tc>
          <w:tcPr>
            <w:tcW w:w="1223"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深圳市福田区刘树春单车维修店</w:t>
            </w:r>
          </w:p>
        </w:tc>
        <w:tc>
          <w:tcPr>
            <w:tcW w:w="975"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2</w:t>
            </w:r>
          </w:p>
        </w:tc>
        <w:tc>
          <w:tcPr>
            <w:tcW w:w="1588"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鞍座长度</w:t>
            </w:r>
          </w:p>
        </w:tc>
        <w:tc>
          <w:tcPr>
            <w:tcW w:w="1459"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华富街道</w:t>
            </w:r>
          </w:p>
        </w:tc>
        <w:tc>
          <w:tcPr>
            <w:tcW w:w="1223"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深圳市福田区罗记自行车行</w:t>
            </w:r>
          </w:p>
        </w:tc>
        <w:tc>
          <w:tcPr>
            <w:tcW w:w="975"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2</w:t>
            </w:r>
          </w:p>
        </w:tc>
        <w:tc>
          <w:tcPr>
            <w:tcW w:w="1588"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鞍座长度</w:t>
            </w:r>
          </w:p>
        </w:tc>
        <w:tc>
          <w:tcPr>
            <w:tcW w:w="1459"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园岭街道</w:t>
            </w:r>
          </w:p>
        </w:tc>
        <w:tc>
          <w:tcPr>
            <w:tcW w:w="1223" w:type="dxa"/>
            <w:vAlign w:val="center"/>
          </w:tcPr>
          <w:p>
            <w:pPr>
              <w:tabs>
                <w:tab w:val="left" w:pos="1888"/>
              </w:tabs>
              <w:jc w:val="center"/>
              <w:rPr>
                <w:rFonts w:ascii="仿宋" w:hAnsi="仿宋" w:eastAsia="仿宋" w:cs="仿宋"/>
                <w:bCs/>
                <w:sz w:val="24"/>
              </w:rPr>
            </w:pPr>
            <w:r>
              <w:rPr>
                <w:rFonts w:hint="eastAsia" w:ascii="仿宋" w:hAnsi="仿宋" w:eastAsia="仿宋" w:cs="仿宋"/>
                <w:bCs/>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深圳市福田区冰豪自行车店</w:t>
            </w:r>
          </w:p>
        </w:tc>
        <w:tc>
          <w:tcPr>
            <w:tcW w:w="9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1</w:t>
            </w:r>
          </w:p>
        </w:tc>
        <w:tc>
          <w:tcPr>
            <w:tcW w:w="1588" w:type="dxa"/>
            <w:vAlign w:val="center"/>
          </w:tcPr>
          <w:p>
            <w:pPr>
              <w:tabs>
                <w:tab w:val="left" w:pos="1888"/>
              </w:tabs>
              <w:jc w:val="center"/>
              <w:rPr>
                <w:rFonts w:ascii="仿宋" w:hAnsi="仿宋" w:eastAsia="仿宋" w:cs="仿宋"/>
                <w:sz w:val="24"/>
              </w:rPr>
            </w:pPr>
            <w:r>
              <w:rPr>
                <w:rFonts w:hint="eastAsia" w:ascii="仿宋" w:hAnsi="仿宋" w:eastAsia="仿宋" w:cs="仿宋"/>
                <w:sz w:val="24"/>
              </w:rPr>
              <w:t>鞍座长度</w:t>
            </w:r>
          </w:p>
        </w:tc>
        <w:tc>
          <w:tcPr>
            <w:tcW w:w="1459" w:type="dxa"/>
            <w:vAlign w:val="center"/>
          </w:tcPr>
          <w:p>
            <w:pPr>
              <w:tabs>
                <w:tab w:val="left" w:pos="1888"/>
              </w:tabs>
              <w:jc w:val="center"/>
              <w:rPr>
                <w:rFonts w:ascii="仿宋" w:hAnsi="仿宋" w:eastAsia="仿宋" w:cs="仿宋"/>
                <w:sz w:val="24"/>
              </w:rPr>
            </w:pPr>
            <w:r>
              <w:rPr>
                <w:rFonts w:hint="eastAsia" w:ascii="仿宋" w:hAnsi="仿宋" w:eastAsia="仿宋" w:cs="仿宋"/>
                <w:sz w:val="24"/>
              </w:rPr>
              <w:t>福保街道</w:t>
            </w:r>
          </w:p>
        </w:tc>
        <w:tc>
          <w:tcPr>
            <w:tcW w:w="1223" w:type="dxa"/>
            <w:vAlign w:val="center"/>
          </w:tcPr>
          <w:p>
            <w:pPr>
              <w:tabs>
                <w:tab w:val="left" w:pos="1888"/>
              </w:tabs>
              <w:jc w:val="center"/>
              <w:rPr>
                <w:rFonts w:ascii="仿宋" w:hAnsi="仿宋" w:eastAsia="仿宋" w:cs="仿宋"/>
                <w:sz w:val="24"/>
              </w:rPr>
            </w:pPr>
            <w:r>
              <w:rPr>
                <w:rFonts w:hint="eastAsia" w:ascii="仿宋" w:hAnsi="仿宋" w:eastAsia="仿宋" w:cs="仿宋"/>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深圳市宇新自行车行</w:t>
            </w:r>
          </w:p>
        </w:tc>
        <w:tc>
          <w:tcPr>
            <w:tcW w:w="9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1</w:t>
            </w:r>
          </w:p>
        </w:tc>
        <w:tc>
          <w:tcPr>
            <w:tcW w:w="1588" w:type="dxa"/>
            <w:vAlign w:val="center"/>
          </w:tcPr>
          <w:p>
            <w:pPr>
              <w:tabs>
                <w:tab w:val="left" w:pos="1888"/>
              </w:tabs>
              <w:jc w:val="center"/>
              <w:rPr>
                <w:rFonts w:ascii="仿宋" w:hAnsi="仿宋" w:eastAsia="仿宋" w:cs="仿宋"/>
                <w:sz w:val="24"/>
              </w:rPr>
            </w:pPr>
            <w:r>
              <w:rPr>
                <w:rFonts w:hint="eastAsia" w:ascii="仿宋" w:hAnsi="仿宋" w:eastAsia="仿宋" w:cs="仿宋"/>
                <w:sz w:val="24"/>
              </w:rPr>
              <w:t>鞍座长度</w:t>
            </w:r>
          </w:p>
        </w:tc>
        <w:tc>
          <w:tcPr>
            <w:tcW w:w="1459" w:type="dxa"/>
            <w:vAlign w:val="center"/>
          </w:tcPr>
          <w:p>
            <w:pPr>
              <w:tabs>
                <w:tab w:val="left" w:pos="1888"/>
              </w:tabs>
              <w:jc w:val="center"/>
              <w:rPr>
                <w:rFonts w:ascii="仿宋" w:hAnsi="仿宋" w:eastAsia="仿宋" w:cs="仿宋"/>
                <w:sz w:val="24"/>
              </w:rPr>
            </w:pPr>
            <w:r>
              <w:rPr>
                <w:rFonts w:hint="eastAsia" w:ascii="仿宋" w:hAnsi="仿宋" w:eastAsia="仿宋" w:cs="仿宋"/>
                <w:sz w:val="24"/>
              </w:rPr>
              <w:t>福田街道</w:t>
            </w:r>
          </w:p>
        </w:tc>
        <w:tc>
          <w:tcPr>
            <w:tcW w:w="1223"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深圳市福田区永盛电动车行</w:t>
            </w:r>
          </w:p>
        </w:tc>
        <w:tc>
          <w:tcPr>
            <w:tcW w:w="9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0</w:t>
            </w:r>
          </w:p>
        </w:tc>
        <w:tc>
          <w:tcPr>
            <w:tcW w:w="1588" w:type="dxa"/>
            <w:vAlign w:val="center"/>
          </w:tcPr>
          <w:p>
            <w:pPr>
              <w:tabs>
                <w:tab w:val="left" w:pos="1888"/>
              </w:tabs>
              <w:jc w:val="center"/>
              <w:rPr>
                <w:rFonts w:ascii="仿宋" w:hAnsi="仿宋" w:eastAsia="仿宋" w:cs="仿宋"/>
                <w:sz w:val="24"/>
              </w:rPr>
            </w:pPr>
            <w:r>
              <w:rPr>
                <w:rFonts w:hint="eastAsia" w:ascii="仿宋" w:hAnsi="仿宋" w:eastAsia="仿宋" w:cs="仿宋"/>
                <w:sz w:val="24"/>
              </w:rPr>
              <w:t>/</w:t>
            </w:r>
          </w:p>
        </w:tc>
        <w:tc>
          <w:tcPr>
            <w:tcW w:w="1459" w:type="dxa"/>
            <w:vAlign w:val="center"/>
          </w:tcPr>
          <w:p>
            <w:pPr>
              <w:tabs>
                <w:tab w:val="left" w:pos="1888"/>
              </w:tabs>
              <w:jc w:val="center"/>
              <w:rPr>
                <w:rFonts w:ascii="仿宋" w:hAnsi="仿宋" w:eastAsia="仿宋" w:cs="仿宋"/>
                <w:sz w:val="24"/>
              </w:rPr>
            </w:pPr>
            <w:r>
              <w:rPr>
                <w:rFonts w:hint="eastAsia" w:ascii="仿宋" w:hAnsi="仿宋" w:eastAsia="仿宋" w:cs="仿宋"/>
                <w:sz w:val="24"/>
              </w:rPr>
              <w:t>华强北街道</w:t>
            </w:r>
          </w:p>
        </w:tc>
        <w:tc>
          <w:tcPr>
            <w:tcW w:w="1223"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深圳市福田区浩然电动车商店</w:t>
            </w:r>
          </w:p>
        </w:tc>
        <w:tc>
          <w:tcPr>
            <w:tcW w:w="9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0</w:t>
            </w:r>
          </w:p>
        </w:tc>
        <w:tc>
          <w:tcPr>
            <w:tcW w:w="1588" w:type="dxa"/>
            <w:vAlign w:val="center"/>
          </w:tcPr>
          <w:p>
            <w:pPr>
              <w:tabs>
                <w:tab w:val="left" w:pos="1888"/>
              </w:tabs>
              <w:jc w:val="center"/>
              <w:rPr>
                <w:rFonts w:ascii="仿宋" w:hAnsi="仿宋" w:eastAsia="仿宋" w:cs="仿宋"/>
                <w:sz w:val="24"/>
              </w:rPr>
            </w:pPr>
            <w:r>
              <w:rPr>
                <w:rFonts w:hint="eastAsia" w:ascii="仿宋" w:hAnsi="仿宋" w:eastAsia="仿宋" w:cs="仿宋"/>
                <w:sz w:val="24"/>
              </w:rPr>
              <w:t>/</w:t>
            </w:r>
          </w:p>
        </w:tc>
        <w:tc>
          <w:tcPr>
            <w:tcW w:w="1459" w:type="dxa"/>
            <w:vAlign w:val="center"/>
          </w:tcPr>
          <w:p>
            <w:pPr>
              <w:jc w:val="center"/>
              <w:rPr>
                <w:rFonts w:ascii="仿宋" w:hAnsi="仿宋" w:eastAsia="仿宋" w:cs="仿宋"/>
                <w:sz w:val="24"/>
              </w:rPr>
            </w:pPr>
            <w:r>
              <w:rPr>
                <w:rFonts w:hint="eastAsia" w:ascii="仿宋" w:hAnsi="仿宋" w:eastAsia="仿宋" w:cs="仿宋"/>
                <w:sz w:val="24"/>
              </w:rPr>
              <w:t>梅林街道</w:t>
            </w:r>
          </w:p>
        </w:tc>
        <w:tc>
          <w:tcPr>
            <w:tcW w:w="1223"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深圳市福田区远驰自行车行</w:t>
            </w:r>
          </w:p>
        </w:tc>
        <w:tc>
          <w:tcPr>
            <w:tcW w:w="9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0</w:t>
            </w:r>
          </w:p>
        </w:tc>
        <w:tc>
          <w:tcPr>
            <w:tcW w:w="1588" w:type="dxa"/>
            <w:vAlign w:val="center"/>
          </w:tcPr>
          <w:p>
            <w:pPr>
              <w:tabs>
                <w:tab w:val="left" w:pos="1888"/>
              </w:tabs>
              <w:jc w:val="center"/>
              <w:rPr>
                <w:rFonts w:ascii="仿宋" w:hAnsi="仿宋" w:eastAsia="仿宋" w:cs="仿宋"/>
                <w:sz w:val="24"/>
              </w:rPr>
            </w:pPr>
            <w:r>
              <w:rPr>
                <w:rFonts w:hint="eastAsia" w:ascii="仿宋" w:hAnsi="仿宋" w:eastAsia="仿宋" w:cs="仿宋"/>
                <w:sz w:val="24"/>
              </w:rPr>
              <w:t>/</w:t>
            </w:r>
          </w:p>
        </w:tc>
        <w:tc>
          <w:tcPr>
            <w:tcW w:w="1459" w:type="dxa"/>
            <w:vAlign w:val="center"/>
          </w:tcPr>
          <w:p>
            <w:pPr>
              <w:jc w:val="center"/>
              <w:rPr>
                <w:rFonts w:ascii="仿宋" w:hAnsi="仿宋" w:eastAsia="仿宋" w:cs="仿宋"/>
                <w:sz w:val="24"/>
              </w:rPr>
            </w:pPr>
            <w:r>
              <w:rPr>
                <w:rFonts w:hint="eastAsia" w:ascii="仿宋" w:hAnsi="仿宋" w:eastAsia="仿宋" w:cs="仿宋"/>
                <w:sz w:val="24"/>
              </w:rPr>
              <w:t>沙头街道</w:t>
            </w:r>
          </w:p>
        </w:tc>
        <w:tc>
          <w:tcPr>
            <w:tcW w:w="1223"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深圳市福田区原粤电动车行</w:t>
            </w:r>
          </w:p>
        </w:tc>
        <w:tc>
          <w:tcPr>
            <w:tcW w:w="9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0</w:t>
            </w:r>
          </w:p>
        </w:tc>
        <w:tc>
          <w:tcPr>
            <w:tcW w:w="1588" w:type="dxa"/>
            <w:vAlign w:val="center"/>
          </w:tcPr>
          <w:p>
            <w:pPr>
              <w:tabs>
                <w:tab w:val="left" w:pos="1888"/>
              </w:tabs>
              <w:jc w:val="center"/>
              <w:rPr>
                <w:rFonts w:ascii="仿宋" w:hAnsi="仿宋" w:eastAsia="仿宋" w:cs="仿宋"/>
                <w:sz w:val="24"/>
              </w:rPr>
            </w:pPr>
            <w:r>
              <w:rPr>
                <w:rFonts w:hint="eastAsia" w:ascii="仿宋" w:hAnsi="仿宋" w:eastAsia="仿宋" w:cs="仿宋"/>
                <w:sz w:val="24"/>
              </w:rPr>
              <w:t>/</w:t>
            </w:r>
          </w:p>
        </w:tc>
        <w:tc>
          <w:tcPr>
            <w:tcW w:w="1459" w:type="dxa"/>
            <w:vAlign w:val="center"/>
          </w:tcPr>
          <w:p>
            <w:pPr>
              <w:jc w:val="center"/>
              <w:rPr>
                <w:rFonts w:ascii="仿宋" w:hAnsi="仿宋" w:eastAsia="仿宋" w:cs="仿宋"/>
                <w:sz w:val="24"/>
              </w:rPr>
            </w:pPr>
            <w:r>
              <w:rPr>
                <w:rFonts w:hint="eastAsia" w:ascii="仿宋" w:hAnsi="仿宋" w:eastAsia="仿宋" w:cs="仿宋"/>
                <w:sz w:val="24"/>
              </w:rPr>
              <w:t>香蜜湖街道</w:t>
            </w:r>
          </w:p>
        </w:tc>
        <w:tc>
          <w:tcPr>
            <w:tcW w:w="1223"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深圳市福田区弘璋电动自行车专卖店</w:t>
            </w:r>
          </w:p>
        </w:tc>
        <w:tc>
          <w:tcPr>
            <w:tcW w:w="975" w:type="dxa"/>
            <w:vAlign w:val="center"/>
          </w:tcPr>
          <w:p>
            <w:pPr>
              <w:tabs>
                <w:tab w:val="left" w:pos="1888"/>
              </w:tabs>
              <w:jc w:val="center"/>
              <w:rPr>
                <w:rFonts w:ascii="仿宋" w:hAnsi="仿宋" w:eastAsia="仿宋" w:cs="仿宋"/>
                <w:sz w:val="24"/>
              </w:rPr>
            </w:pPr>
            <w:r>
              <w:rPr>
                <w:rFonts w:hint="eastAsia" w:ascii="仿宋" w:hAnsi="仿宋" w:eastAsia="仿宋" w:cs="仿宋"/>
                <w:sz w:val="24"/>
              </w:rPr>
              <w:t>0</w:t>
            </w:r>
          </w:p>
        </w:tc>
        <w:tc>
          <w:tcPr>
            <w:tcW w:w="1588" w:type="dxa"/>
            <w:vAlign w:val="center"/>
          </w:tcPr>
          <w:p>
            <w:pPr>
              <w:tabs>
                <w:tab w:val="left" w:pos="1888"/>
              </w:tabs>
              <w:jc w:val="center"/>
              <w:rPr>
                <w:rFonts w:ascii="仿宋" w:hAnsi="仿宋" w:eastAsia="仿宋" w:cs="仿宋"/>
                <w:sz w:val="24"/>
              </w:rPr>
            </w:pPr>
            <w:r>
              <w:rPr>
                <w:rFonts w:hint="eastAsia" w:ascii="仿宋" w:hAnsi="仿宋" w:eastAsia="仿宋" w:cs="仿宋"/>
                <w:sz w:val="24"/>
              </w:rPr>
              <w:t>/</w:t>
            </w:r>
          </w:p>
        </w:tc>
        <w:tc>
          <w:tcPr>
            <w:tcW w:w="1459" w:type="dxa"/>
            <w:vAlign w:val="center"/>
          </w:tcPr>
          <w:p>
            <w:pPr>
              <w:jc w:val="center"/>
              <w:rPr>
                <w:rFonts w:ascii="仿宋" w:hAnsi="仿宋" w:eastAsia="仿宋" w:cs="仿宋"/>
                <w:sz w:val="24"/>
              </w:rPr>
            </w:pPr>
            <w:r>
              <w:rPr>
                <w:rFonts w:hint="eastAsia" w:ascii="仿宋" w:hAnsi="仿宋" w:eastAsia="仿宋" w:cs="仿宋"/>
                <w:sz w:val="24"/>
              </w:rPr>
              <w:t>园岭街道</w:t>
            </w:r>
          </w:p>
        </w:tc>
        <w:tc>
          <w:tcPr>
            <w:tcW w:w="1223"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4175" w:type="dxa"/>
            <w:vAlign w:val="center"/>
          </w:tcPr>
          <w:p>
            <w:pPr>
              <w:tabs>
                <w:tab w:val="left" w:pos="1888"/>
              </w:tabs>
              <w:jc w:val="center"/>
              <w:rPr>
                <w:rFonts w:ascii="仿宋" w:hAnsi="仿宋" w:eastAsia="仿宋" w:cs="仿宋"/>
                <w:b/>
                <w:sz w:val="24"/>
              </w:rPr>
            </w:pPr>
            <w:r>
              <w:rPr>
                <w:rFonts w:hint="eastAsia" w:ascii="仿宋" w:hAnsi="仿宋" w:eastAsia="仿宋" w:cs="仿宋"/>
                <w:b/>
                <w:sz w:val="24"/>
              </w:rPr>
              <w:t>合计</w:t>
            </w:r>
          </w:p>
        </w:tc>
        <w:tc>
          <w:tcPr>
            <w:tcW w:w="975" w:type="dxa"/>
            <w:vAlign w:val="center"/>
          </w:tcPr>
          <w:p>
            <w:pPr>
              <w:tabs>
                <w:tab w:val="left" w:pos="1888"/>
              </w:tabs>
              <w:jc w:val="center"/>
              <w:rPr>
                <w:rFonts w:ascii="仿宋" w:hAnsi="仿宋" w:eastAsia="仿宋" w:cs="仿宋"/>
                <w:b/>
                <w:sz w:val="24"/>
              </w:rPr>
            </w:pPr>
            <w:r>
              <w:rPr>
                <w:rFonts w:hint="eastAsia" w:ascii="仿宋" w:hAnsi="仿宋" w:eastAsia="仿宋" w:cs="仿宋"/>
                <w:b/>
                <w:sz w:val="24"/>
              </w:rPr>
              <w:t>16</w:t>
            </w:r>
          </w:p>
        </w:tc>
        <w:tc>
          <w:tcPr>
            <w:tcW w:w="1588" w:type="dxa"/>
            <w:vAlign w:val="center"/>
          </w:tcPr>
          <w:p>
            <w:pPr>
              <w:tabs>
                <w:tab w:val="left" w:pos="1888"/>
              </w:tabs>
              <w:jc w:val="center"/>
              <w:rPr>
                <w:rFonts w:ascii="仿宋" w:hAnsi="仿宋" w:eastAsia="仿宋" w:cs="仿宋"/>
                <w:b/>
                <w:sz w:val="24"/>
              </w:rPr>
            </w:pPr>
            <w:r>
              <w:rPr>
                <w:rFonts w:hint="eastAsia" w:ascii="仿宋" w:hAnsi="仿宋" w:eastAsia="仿宋" w:cs="仿宋"/>
                <w:b/>
                <w:sz w:val="24"/>
              </w:rPr>
              <w:t>鞍座长度</w:t>
            </w:r>
          </w:p>
        </w:tc>
        <w:tc>
          <w:tcPr>
            <w:tcW w:w="1459" w:type="dxa"/>
            <w:vAlign w:val="center"/>
          </w:tcPr>
          <w:p>
            <w:pPr>
              <w:jc w:val="center"/>
              <w:rPr>
                <w:rFonts w:ascii="仿宋" w:hAnsi="仿宋" w:eastAsia="仿宋" w:cs="仿宋"/>
                <w:b/>
                <w:sz w:val="24"/>
              </w:rPr>
            </w:pPr>
            <w:r>
              <w:rPr>
                <w:rFonts w:hint="eastAsia" w:ascii="仿宋" w:hAnsi="仿宋" w:eastAsia="仿宋" w:cs="仿宋"/>
                <w:b/>
                <w:sz w:val="24"/>
              </w:rPr>
              <w:t>/</w:t>
            </w:r>
          </w:p>
        </w:tc>
        <w:tc>
          <w:tcPr>
            <w:tcW w:w="1223" w:type="dxa"/>
            <w:vAlign w:val="center"/>
          </w:tcPr>
          <w:p>
            <w:pPr>
              <w:jc w:val="center"/>
              <w:rPr>
                <w:rFonts w:ascii="仿宋" w:hAnsi="仿宋" w:eastAsia="仿宋" w:cs="仿宋"/>
                <w:b/>
                <w:sz w:val="24"/>
              </w:rPr>
            </w:pPr>
            <w:r>
              <w:rPr>
                <w:rFonts w:hint="eastAsia" w:ascii="仿宋" w:hAnsi="仿宋" w:eastAsia="仿宋" w:cs="仿宋"/>
                <w:b/>
                <w:sz w:val="24"/>
              </w:rPr>
              <w:t>/</w:t>
            </w:r>
          </w:p>
        </w:tc>
      </w:tr>
    </w:tbl>
    <w:p>
      <w:pPr>
        <w:pStyle w:val="26"/>
        <w:numPr>
          <w:ilvl w:val="255"/>
          <w:numId w:val="0"/>
        </w:numPr>
        <w:outlineLvl w:val="1"/>
        <w:rPr>
          <w:rFonts w:hint="default" w:ascii="仿宋_GB2312" w:hAnsi="仿宋_GB2312" w:eastAsia="仿宋_GB2312" w:cs="仿宋_GB2312"/>
          <w:sz w:val="32"/>
          <w:szCs w:val="32"/>
          <w:lang w:val="en-US"/>
        </w:rPr>
      </w:pPr>
      <w:bookmarkStart w:id="93" w:name="_Toc4132"/>
      <w:bookmarkStart w:id="94" w:name="_Toc30210"/>
      <w:bookmarkStart w:id="95" w:name="_Toc21270"/>
      <w:bookmarkStart w:id="96" w:name="_Toc5872"/>
      <w:r>
        <w:rPr>
          <w:rFonts w:hint="eastAsia" w:ascii="仿宋_GB2312" w:hAnsi="仿宋_GB2312" w:eastAsia="仿宋_GB2312" w:cs="仿宋_GB2312"/>
          <w:b/>
          <w:bCs/>
          <w:sz w:val="32"/>
          <w:szCs w:val="32"/>
          <w:lang w:val="en-US" w:eastAsia="zh-CN"/>
        </w:rPr>
        <w:t>本次核查项目：</w:t>
      </w:r>
      <w:bookmarkEnd w:id="93"/>
      <w:bookmarkEnd w:id="94"/>
      <w:bookmarkEnd w:id="95"/>
      <w:bookmarkEnd w:id="96"/>
    </w:p>
    <w:p>
      <w:pPr>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1.CCC标志</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获得认证的产品必须加施认证标志。电动自行车产品使用认证标志时，大多数是模压在铭牌上，也有使用印刷标志施加在产品外体的明显位置上</w:t>
      </w:r>
      <w:r>
        <w:rPr>
          <w:rFonts w:hint="eastAsia" w:ascii="仿宋_GB2312" w:hAnsi="仿宋_GB2312" w:eastAsia="仿宋_GB2312" w:cs="仿宋_GB2312"/>
          <w:sz w:val="32"/>
          <w:szCs w:val="32"/>
          <w:lang w:eastAsia="zh-CN"/>
        </w:rPr>
        <w:t>。</w:t>
      </w:r>
    </w:p>
    <w:p>
      <w:pPr>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2.名牌</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应当用中文标明以下信息：产品名称、型号、制造商名称或商标、制造年月等。铭牌上标明的内容应当规范、清晰耐久且易于识别。</w:t>
      </w:r>
    </w:p>
    <w:p>
      <w:pPr>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3.证书一致性</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主要核查证书有效性、产品明示指标与证书相关内容是否致。</w:t>
      </w:r>
    </w:p>
    <w:p>
      <w:pPr>
        <w:ind w:firstLine="640" w:firstLineChars="200"/>
        <w:jc w:val="left"/>
        <w:rPr>
          <w:rFonts w:hint="eastAsia" w:ascii="仿宋_GB2312" w:hAnsi="仿宋_GB2312" w:eastAsia="仿宋_GB2312" w:cs="仿宋_GB2312"/>
          <w:sz w:val="32"/>
          <w:szCs w:val="32"/>
          <w:highlight w:val="none"/>
          <w:lang w:val="en-US" w:eastAsia="zh-CN"/>
        </w:rPr>
      </w:pPr>
    </w:p>
    <w:p>
      <w:pPr>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4.整车编码</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在车架本体不可分隔的醒目部位表面，应当永久性地标上每辆电动自行车的唯一性整车编码。采用15 位全数字代码结构，是车辆上牌时重要的参数之一。</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电机编码</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电动机编码至少应当包括电动机功率和电压的信息，并应当永久性地刻制在电动机外壳上。</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rPr>
        <w:t>合格证</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产品合格证应当用中文清晰标明产品名称、型号、制造商或商标、生产厂及地址、制造日期、整车编码、电动机编码、驱动方式（电驱动和/或电助动）、最高设计车速、整车质量、电动机功率和额定电压、电池种类等。上述信息还应当具有可识读的二维码等信息码。</w:t>
      </w:r>
    </w:p>
    <w:p>
      <w:pPr>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7.说明书</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说明书是每辆车必须配备技术文件之一，指导消费者安全使用、维护保养车辆。</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lang w:val="en-US" w:eastAsia="zh-CN"/>
        </w:rPr>
        <w:t>蓄电池</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蓄电池是车辆的电动力部件，车辆装配的蓄电池应与合格证明示一致。</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lang w:val="en-US" w:eastAsia="zh-CN"/>
        </w:rPr>
        <w:t>充电器</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是车辆的电动力充电部件，车辆装配的充电器应与蓄电池的种类、标称电压一致。</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lang w:val="en-US" w:eastAsia="zh-CN"/>
        </w:rPr>
        <w:t>控制器</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是车辆电器控制中心，车辆装配的控制器应与合格证明示一致。</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lang w:val="en-US" w:eastAsia="zh-CN"/>
        </w:rPr>
        <w:t>短路保护</w:t>
      </w:r>
    </w:p>
    <w:p>
      <w:pPr>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rPr>
        <w:t>电动自行车的充电线路和电池输出端中应当装有熔断器或断路保护装置，其规格、参数应当符合使用说明书或其他明示的规定。</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次核查，均未发现门店销售电动摩托车和电动三轮车，说明经市场监管部门持续政策宣传、现场帮扶及技术指导，彻底杜绝了以往电动自行车、电动摩托车和电动三轮车混合销售的情况，避免消费者买到摩托车不符合上路要求、不能上牌等情况。</w:t>
      </w:r>
    </w:p>
    <w:p>
      <w:pPr>
        <w:pStyle w:val="26"/>
        <w:numPr>
          <w:ilvl w:val="255"/>
          <w:numId w:val="0"/>
        </w:numPr>
        <w:jc w:val="left"/>
        <w:outlineLvl w:val="1"/>
        <w:rPr>
          <w:rFonts w:ascii="仿宋_GB2312" w:hAnsi="仿宋_GB2312" w:eastAsia="仿宋_GB2312" w:cs="仿宋_GB2312"/>
          <w:sz w:val="32"/>
          <w:szCs w:val="32"/>
        </w:rPr>
      </w:pPr>
      <w:bookmarkStart w:id="97" w:name="_Toc14458"/>
      <w:bookmarkStart w:id="98" w:name="_Toc4998"/>
      <w:bookmarkStart w:id="99" w:name="_Toc12649"/>
      <w:bookmarkStart w:id="100" w:name="_Toc29332"/>
      <w:bookmarkStart w:id="101" w:name="_Toc13377"/>
      <w:bookmarkStart w:id="102" w:name="_Toc575"/>
      <w:bookmarkStart w:id="103" w:name="_Toc16377"/>
      <w:r>
        <w:rPr>
          <w:rFonts w:hint="eastAsia" w:ascii="仿宋_GB2312" w:hAnsi="仿宋_GB2312" w:eastAsia="仿宋_GB2312" w:cs="仿宋_GB2312"/>
          <w:b/>
          <w:bCs/>
          <w:sz w:val="32"/>
          <w:szCs w:val="32"/>
        </w:rPr>
        <w:t>（三）不符合项目分析</w:t>
      </w:r>
      <w:bookmarkEnd w:id="97"/>
      <w:bookmarkEnd w:id="98"/>
      <w:bookmarkEnd w:id="99"/>
      <w:bookmarkEnd w:id="100"/>
      <w:bookmarkEnd w:id="101"/>
      <w:bookmarkEnd w:id="102"/>
      <w:bookmarkEnd w:id="103"/>
    </w:p>
    <w:p>
      <w:pPr>
        <w:ind w:firstLine="64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32"/>
          <w:szCs w:val="32"/>
        </w:rPr>
        <w:t>本次核查，发现不符合项目为鞍座长度。标准要求鞍座长度小于或等于350mm。不符合项目均集中在鞍座长度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造成此项目不符合的原因可能是部分生产企业和销售门店为了追求销售量和利润的最大化，吸引客户目光，满足消费者需求，在原符合标准的车型上通过发送额外配件的方式改装车辆，从而导致项目不符合。</w:t>
      </w:r>
    </w:p>
    <w:p>
      <w:pPr>
        <w:ind w:firstLine="0" w:firstLineChars="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br w:type="page"/>
      </w:r>
    </w:p>
    <w:p>
      <w:pPr>
        <w:ind w:firstLine="3092" w:firstLineChars="11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鞍座长度大于350mm</w:t>
      </w:r>
    </w:p>
    <w:p>
      <w:pPr>
        <w:tabs>
          <w:tab w:val="left" w:pos="1888"/>
        </w:tabs>
        <w:ind w:firstLine="480" w:firstLineChars="200"/>
        <w:jc w:val="both"/>
        <w:rPr>
          <w:rFonts w:ascii="仿宋_GB2312" w:hAnsi="仿宋_GB2312" w:eastAsia="仿宋_GB2312" w:cs="仿宋_GB2312"/>
          <w:b/>
          <w:bCs/>
          <w:sz w:val="32"/>
          <w:szCs w:val="32"/>
        </w:rPr>
      </w:pPr>
      <w:r>
        <w:rPr>
          <w:rFonts w:ascii="宋体" w:hAnsi="宋体" w:eastAsia="宋体" w:cs="宋体"/>
          <w:kern w:val="0"/>
          <w:sz w:val="24"/>
        </w:rPr>
        <w:drawing>
          <wp:inline distT="0" distB="0" distL="0" distR="0">
            <wp:extent cx="5180965" cy="3445510"/>
            <wp:effectExtent l="0" t="0" r="635" b="2540"/>
            <wp:docPr id="1" name="图片 1" descr="C:\Users\yanghj00173\AppData\Roaming\Tencent\Users\605865236\QQ\WinTemp\RichOle\PR@GER98S(M[X8ZPAHCYU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anghj00173\AppData\Roaming\Tencent\Users\605865236\QQ\WinTemp\RichOle\PR@GER98S(M[X8ZPAHCYUU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80965" cy="3445510"/>
                    </a:xfrm>
                    <a:prstGeom prst="rect">
                      <a:avLst/>
                    </a:prstGeom>
                    <a:noFill/>
                    <a:ln>
                      <a:noFill/>
                    </a:ln>
                  </pic:spPr>
                </pic:pic>
              </a:graphicData>
            </a:graphic>
          </wp:inline>
        </w:drawing>
      </w:r>
    </w:p>
    <w:p>
      <w:pPr>
        <w:pStyle w:val="26"/>
        <w:numPr>
          <w:ilvl w:val="255"/>
          <w:numId w:val="0"/>
        </w:numPr>
        <w:jc w:val="left"/>
        <w:outlineLvl w:val="1"/>
        <w:rPr>
          <w:rFonts w:hint="default" w:ascii="仿宋_GB2312" w:hAnsi="仿宋_GB2312" w:eastAsia="仿宋_GB2312" w:cs="仿宋_GB2312"/>
          <w:b/>
          <w:bCs/>
          <w:sz w:val="32"/>
          <w:szCs w:val="32"/>
          <w:highlight w:val="none"/>
          <w:lang w:val="en-US" w:eastAsia="zh-CN"/>
        </w:rPr>
      </w:pPr>
      <w:bookmarkStart w:id="104" w:name="_Toc9066"/>
      <w:bookmarkStart w:id="105" w:name="_Toc24818"/>
      <w:bookmarkStart w:id="106" w:name="_Toc15580"/>
      <w:bookmarkStart w:id="107" w:name="_Toc14753"/>
      <w:bookmarkStart w:id="108" w:name="_Toc6928"/>
      <w:bookmarkStart w:id="109" w:name="_Toc8669"/>
      <w:bookmarkStart w:id="110" w:name="_Toc12863"/>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开展电动自行车质量提升培训会</w:t>
      </w:r>
      <w:bookmarkEnd w:id="104"/>
      <w:bookmarkEnd w:id="105"/>
      <w:bookmarkEnd w:id="106"/>
      <w:bookmarkEnd w:id="107"/>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640" w:firstLineChars="200"/>
        <w:jc w:val="both"/>
        <w:rPr>
          <w:rFonts w:hint="eastAsia" w:ascii="仿宋_GB2312" w:hAnsi="仿宋_GB2312" w:eastAsia="仿宋_GB2312" w:cs="仿宋_GB2312"/>
          <w:b w:val="0"/>
          <w:bCs w:val="0"/>
          <w:i w:val="0"/>
          <w:iCs w:val="0"/>
          <w:caps w:val="0"/>
          <w:spacing w:val="0"/>
          <w:kern w:val="2"/>
          <w:sz w:val="32"/>
          <w:szCs w:val="32"/>
          <w:shd w:val="clear"/>
          <w:lang w:val="en-US" w:eastAsia="zh-CN" w:bidi="ar-SA"/>
        </w:rPr>
      </w:pPr>
      <w:r>
        <w:rPr>
          <w:rFonts w:hint="eastAsia" w:ascii="仿宋_GB2312" w:hAnsi="仿宋_GB2312" w:eastAsia="仿宋_GB2312" w:cs="仿宋_GB2312"/>
          <w:b w:val="0"/>
          <w:bCs w:val="0"/>
          <w:i w:val="0"/>
          <w:iCs w:val="0"/>
          <w:caps w:val="0"/>
          <w:color w:val="191919"/>
          <w:spacing w:val="0"/>
          <w:kern w:val="2"/>
          <w:sz w:val="32"/>
          <w:szCs w:val="32"/>
          <w:shd w:val="clear" w:fill="FFFFFF"/>
          <w:lang w:bidi="ar-SA"/>
        </w:rPr>
        <w:t>为落实省局、市局关于开展产品质量技术帮扶和质量提升工作的部署要求，进一步提升</w:t>
      </w:r>
      <w:r>
        <w:rPr>
          <w:rFonts w:hint="eastAsia" w:ascii="仿宋_GB2312" w:hAnsi="仿宋_GB2312" w:eastAsia="仿宋_GB2312" w:cs="仿宋_GB2312"/>
          <w:b w:val="0"/>
          <w:bCs w:val="0"/>
          <w:i w:val="0"/>
          <w:iCs w:val="0"/>
          <w:caps w:val="0"/>
          <w:spacing w:val="0"/>
          <w:kern w:val="2"/>
          <w:sz w:val="32"/>
          <w:szCs w:val="32"/>
          <w:shd w:val="clear"/>
          <w:lang w:val="en-US" w:eastAsia="zh-CN" w:bidi="ar-SA"/>
        </w:rPr>
        <w:t>福田</w:t>
      </w:r>
      <w:r>
        <w:rPr>
          <w:rFonts w:hint="eastAsia" w:ascii="仿宋_GB2312" w:hAnsi="仿宋_GB2312" w:eastAsia="仿宋_GB2312" w:cs="仿宋_GB2312"/>
          <w:b w:val="0"/>
          <w:bCs w:val="0"/>
          <w:i w:val="0"/>
          <w:iCs w:val="0"/>
          <w:caps w:val="0"/>
          <w:color w:val="191919"/>
          <w:spacing w:val="0"/>
          <w:kern w:val="2"/>
          <w:sz w:val="32"/>
          <w:szCs w:val="32"/>
          <w:shd w:val="clear" w:fill="FFFFFF"/>
          <w:lang w:bidi="ar-SA"/>
        </w:rPr>
        <w:t>区电动自行车质量安全水平，11月4日，</w:t>
      </w:r>
      <w:r>
        <w:rPr>
          <w:rFonts w:hint="eastAsia" w:ascii="仿宋_GB2312" w:hAnsi="仿宋_GB2312" w:eastAsia="仿宋_GB2312" w:cs="仿宋_GB2312"/>
          <w:b w:val="0"/>
          <w:bCs w:val="0"/>
          <w:i w:val="0"/>
          <w:iCs w:val="0"/>
          <w:caps w:val="0"/>
          <w:color w:val="191919"/>
          <w:spacing w:val="0"/>
          <w:kern w:val="2"/>
          <w:sz w:val="32"/>
          <w:szCs w:val="32"/>
          <w:shd w:val="clear" w:fill="FFFFFF"/>
          <w:lang w:eastAsia="zh-CN" w:bidi="ar-SA"/>
        </w:rPr>
        <w:t>市市场监管局福田局</w:t>
      </w:r>
      <w:r>
        <w:rPr>
          <w:rFonts w:hint="eastAsia" w:ascii="仿宋_GB2312" w:hAnsi="仿宋_GB2312" w:eastAsia="仿宋_GB2312" w:cs="仿宋_GB2312"/>
          <w:b w:val="0"/>
          <w:bCs w:val="0"/>
          <w:i w:val="0"/>
          <w:iCs w:val="0"/>
          <w:caps w:val="0"/>
          <w:color w:val="191919"/>
          <w:spacing w:val="0"/>
          <w:kern w:val="2"/>
          <w:sz w:val="32"/>
          <w:szCs w:val="32"/>
          <w:shd w:val="clear" w:fill="FFFFFF"/>
          <w:lang w:bidi="ar-SA"/>
        </w:rPr>
        <w:t>组织举办了电动自行车质量提升</w:t>
      </w:r>
      <w:r>
        <w:rPr>
          <w:rFonts w:hint="eastAsia" w:ascii="仿宋_GB2312" w:hAnsi="仿宋_GB2312" w:eastAsia="仿宋_GB2312" w:cs="仿宋_GB2312"/>
          <w:b w:val="0"/>
          <w:bCs w:val="0"/>
          <w:i w:val="0"/>
          <w:iCs w:val="0"/>
          <w:caps w:val="0"/>
          <w:spacing w:val="0"/>
          <w:kern w:val="2"/>
          <w:sz w:val="32"/>
          <w:szCs w:val="32"/>
          <w:shd w:val="clear"/>
          <w:lang w:val="en-US" w:eastAsia="zh-CN" w:bidi="ar-SA"/>
        </w:rPr>
        <w:t>培训会，市检测院技术专家和31家电动自行车销售门店负责人参加了本次会议。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640" w:firstLineChars="200"/>
        <w:jc w:val="both"/>
        <w:rPr>
          <w:rFonts w:hint="eastAsia" w:ascii="仿宋_GB2312" w:hAnsi="仿宋_GB2312" w:eastAsia="仿宋_GB2312" w:cs="仿宋_GB2312"/>
          <w:b w:val="0"/>
          <w:bCs w:val="0"/>
          <w:i w:val="0"/>
          <w:iCs w:val="0"/>
          <w:caps w:val="0"/>
          <w:color w:val="191919"/>
          <w:spacing w:val="0"/>
          <w:kern w:val="2"/>
          <w:sz w:val="32"/>
          <w:szCs w:val="32"/>
          <w:lang w:bidi="ar-SA"/>
        </w:rPr>
      </w:pPr>
      <w:r>
        <w:rPr>
          <w:rFonts w:hint="eastAsia" w:ascii="仿宋_GB2312" w:hAnsi="仿宋_GB2312" w:eastAsia="仿宋_GB2312" w:cs="仿宋_GB2312"/>
          <w:b w:val="0"/>
          <w:bCs w:val="0"/>
          <w:i w:val="0"/>
          <w:iCs w:val="0"/>
          <w:caps w:val="0"/>
          <w:spacing w:val="0"/>
          <w:kern w:val="2"/>
          <w:sz w:val="32"/>
          <w:szCs w:val="32"/>
          <w:lang w:val="en-US" w:eastAsia="zh-CN" w:bidi="ar-SA"/>
        </w:rPr>
        <w:t>会议要求</w:t>
      </w:r>
      <w:r>
        <w:rPr>
          <w:rFonts w:hint="eastAsia" w:ascii="仿宋_GB2312" w:hAnsi="仿宋_GB2312" w:eastAsia="仿宋_GB2312" w:cs="仿宋_GB2312"/>
          <w:b/>
          <w:bCs/>
          <w:i w:val="0"/>
          <w:iCs w:val="0"/>
          <w:caps w:val="0"/>
          <w:spacing w:val="0"/>
          <w:kern w:val="2"/>
          <w:sz w:val="32"/>
          <w:szCs w:val="32"/>
          <w:lang w:val="en-US" w:eastAsia="zh-CN" w:bidi="ar-SA"/>
        </w:rPr>
        <w:t>一是</w:t>
      </w:r>
      <w:r>
        <w:rPr>
          <w:rFonts w:ascii="仿宋_GB2312" w:hAnsi="仿宋_GB2312" w:eastAsia="仿宋_GB2312" w:cs="仿宋_GB2312"/>
          <w:b w:val="0"/>
          <w:bCs w:val="0"/>
          <w:i w:val="0"/>
          <w:iCs w:val="0"/>
          <w:caps w:val="0"/>
          <w:color w:val="191919"/>
          <w:spacing w:val="0"/>
          <w:kern w:val="2"/>
          <w:sz w:val="32"/>
          <w:szCs w:val="32"/>
          <w:shd w:val="clear" w:fill="FFFFFF"/>
          <w:lang w:bidi="ar-SA"/>
        </w:rPr>
        <w:t>增强责任意识，落实企业主体责任</w:t>
      </w:r>
      <w:r>
        <w:rPr>
          <w:rFonts w:hint="eastAsia" w:ascii="仿宋_GB2312" w:hAnsi="仿宋_GB2312" w:eastAsia="仿宋_GB2312" w:cs="仿宋_GB2312"/>
          <w:b w:val="0"/>
          <w:bCs w:val="0"/>
          <w:i w:val="0"/>
          <w:iCs w:val="0"/>
          <w:caps w:val="0"/>
          <w:spacing w:val="0"/>
          <w:kern w:val="2"/>
          <w:sz w:val="32"/>
          <w:szCs w:val="32"/>
          <w:shd w:val="clear"/>
          <w:lang w:eastAsia="zh-CN" w:bidi="ar-SA"/>
        </w:rPr>
        <w:t>；</w:t>
      </w:r>
      <w:r>
        <w:rPr>
          <w:rFonts w:hint="eastAsia" w:ascii="仿宋_GB2312" w:hAnsi="仿宋_GB2312" w:eastAsia="仿宋_GB2312" w:cs="仿宋_GB2312"/>
          <w:b/>
          <w:bCs/>
          <w:i w:val="0"/>
          <w:iCs w:val="0"/>
          <w:caps w:val="0"/>
          <w:spacing w:val="0"/>
          <w:kern w:val="2"/>
          <w:sz w:val="32"/>
          <w:szCs w:val="32"/>
          <w:shd w:val="clear"/>
          <w:lang w:val="en-US" w:eastAsia="zh-CN" w:bidi="ar-SA"/>
        </w:rPr>
        <w:t>二是</w:t>
      </w:r>
      <w:r>
        <w:rPr>
          <w:rFonts w:ascii="仿宋_GB2312" w:hAnsi="仿宋_GB2312" w:eastAsia="仿宋_GB2312" w:cs="仿宋_GB2312"/>
          <w:b w:val="0"/>
          <w:bCs w:val="0"/>
          <w:i w:val="0"/>
          <w:iCs w:val="0"/>
          <w:caps w:val="0"/>
          <w:color w:val="191919"/>
          <w:spacing w:val="0"/>
          <w:kern w:val="2"/>
          <w:sz w:val="32"/>
          <w:szCs w:val="32"/>
          <w:shd w:val="clear" w:fill="FFFFFF"/>
          <w:lang w:bidi="ar-SA"/>
        </w:rPr>
        <w:t>加强质量监管，增强监管有效性</w:t>
      </w:r>
      <w:r>
        <w:rPr>
          <w:rFonts w:hint="eastAsia" w:ascii="仿宋_GB2312" w:hAnsi="仿宋_GB2312" w:eastAsia="仿宋_GB2312" w:cs="仿宋_GB2312"/>
          <w:b w:val="0"/>
          <w:bCs w:val="0"/>
          <w:i w:val="0"/>
          <w:iCs w:val="0"/>
          <w:caps w:val="0"/>
          <w:color w:val="191919"/>
          <w:spacing w:val="0"/>
          <w:kern w:val="2"/>
          <w:sz w:val="32"/>
          <w:szCs w:val="32"/>
          <w:shd w:val="clear" w:fill="FFFFFF"/>
          <w:lang w:eastAsia="zh-CN" w:bidi="ar-SA"/>
        </w:rPr>
        <w:t>；</w:t>
      </w:r>
      <w:r>
        <w:rPr>
          <w:rFonts w:hint="eastAsia" w:ascii="仿宋_GB2312" w:hAnsi="仿宋_GB2312" w:eastAsia="仿宋_GB2312" w:cs="仿宋_GB2312"/>
          <w:b/>
          <w:bCs/>
          <w:i w:val="0"/>
          <w:iCs w:val="0"/>
          <w:caps w:val="0"/>
          <w:color w:val="191919"/>
          <w:spacing w:val="0"/>
          <w:kern w:val="2"/>
          <w:sz w:val="32"/>
          <w:szCs w:val="32"/>
          <w:shd w:val="clear" w:fill="FFFFFF"/>
          <w:lang w:val="en-US" w:eastAsia="zh-CN" w:bidi="ar-SA"/>
        </w:rPr>
        <w:t>三是</w:t>
      </w:r>
      <w:r>
        <w:rPr>
          <w:rFonts w:ascii="仿宋_GB2312" w:hAnsi="仿宋_GB2312" w:eastAsia="仿宋_GB2312" w:cs="仿宋_GB2312"/>
          <w:b w:val="0"/>
          <w:bCs w:val="0"/>
          <w:i w:val="0"/>
          <w:iCs w:val="0"/>
          <w:caps w:val="0"/>
          <w:color w:val="191919"/>
          <w:spacing w:val="0"/>
          <w:kern w:val="2"/>
          <w:sz w:val="32"/>
          <w:szCs w:val="32"/>
          <w:shd w:val="clear" w:fill="FFFFFF"/>
          <w:lang w:bidi="ar-SA"/>
        </w:rPr>
        <w:t>加强质量帮扶，提升服务水平</w:t>
      </w:r>
      <w:r>
        <w:rPr>
          <w:rFonts w:hint="eastAsia" w:ascii="仿宋_GB2312" w:hAnsi="仿宋_GB2312" w:eastAsia="仿宋_GB2312" w:cs="仿宋_GB2312"/>
          <w:b w:val="0"/>
          <w:bCs w:val="0"/>
          <w:i w:val="0"/>
          <w:iCs w:val="0"/>
          <w:caps w:val="0"/>
          <w:spacing w:val="0"/>
          <w:kern w:val="2"/>
          <w:sz w:val="32"/>
          <w:szCs w:val="32"/>
          <w:shd w:val="clear"/>
          <w:lang w:eastAsia="zh-CN" w:bidi="ar-SA"/>
        </w:rPr>
        <w:t>。</w:t>
      </w:r>
    </w:p>
    <w:p>
      <w:pPr>
        <w:pStyle w:val="26"/>
        <w:numPr>
          <w:ilvl w:val="255"/>
          <w:numId w:val="0"/>
        </w:numPr>
        <w:ind w:firstLine="640"/>
        <w:jc w:val="both"/>
        <w:outlineLvl w:val="9"/>
        <w:rPr>
          <w:rFonts w:hint="eastAsia" w:ascii="仿宋_GB2312" w:hAnsi="仿宋_GB2312" w:eastAsia="仿宋_GB2312" w:cs="仿宋_GB2312"/>
          <w:color w:val="191919"/>
          <w:sz w:val="32"/>
          <w:szCs w:val="32"/>
          <w:shd w:val="clear" w:fill="FFFFFF"/>
        </w:rPr>
      </w:pPr>
      <w:bookmarkStart w:id="111" w:name="_Toc5512"/>
      <w:bookmarkStart w:id="112" w:name="_Toc13587"/>
      <w:bookmarkStart w:id="113" w:name="_Toc8545"/>
      <w:r>
        <w:rPr>
          <w:rFonts w:hint="eastAsia" w:ascii="仿宋_GB2312" w:hAnsi="仿宋_GB2312" w:eastAsia="仿宋_GB2312" w:cs="仿宋_GB2312"/>
          <w:b w:val="0"/>
          <w:bCs w:val="0"/>
          <w:color w:val="191919"/>
          <w:sz w:val="32"/>
          <w:szCs w:val="32"/>
          <w:highlight w:val="none"/>
          <w:shd w:val="clear" w:fill="FFFFFF"/>
          <w:lang w:val="en-US" w:eastAsia="zh-CN"/>
        </w:rPr>
        <w:t>会议上</w:t>
      </w:r>
      <w:r>
        <w:rPr>
          <w:rFonts w:hint="eastAsia" w:ascii="仿宋_GB2312" w:hAnsi="仿宋_GB2312" w:eastAsia="仿宋_GB2312" w:cs="仿宋_GB2312"/>
          <w:b w:val="0"/>
          <w:bCs w:val="0"/>
          <w:color w:val="191919"/>
          <w:sz w:val="32"/>
          <w:szCs w:val="32"/>
          <w:shd w:val="clear" w:fill="FFFFFF"/>
          <w:lang w:val="en-US" w:eastAsia="zh-CN"/>
        </w:rPr>
        <w:t>，</w:t>
      </w:r>
      <w:r>
        <w:rPr>
          <w:rFonts w:hint="eastAsia" w:ascii="仿宋_GB2312" w:hAnsi="仿宋_GB2312" w:eastAsia="仿宋_GB2312" w:cs="仿宋_GB2312"/>
          <w:color w:val="191919"/>
          <w:sz w:val="32"/>
          <w:szCs w:val="32"/>
          <w:shd w:val="clear" w:fill="FFFFFF"/>
        </w:rPr>
        <w:t>市检测院技术专家向参会企业发布了《福田区电动自行车产品质量监测分析报告》，由市检测院技术专家进行专题授课，重点讲解了电动自行车标准、电动自行车常见质量问题分析、产品一致性检查及非法改装案例分析以及电动自行车上牌和置换相关内容，对福田区电动自行车行业质量提升工作提出具体的对策和建议。活动现场开展了问诊治病和质量技术帮扶，对参会企业进行一对一的指导，为企业答疑解惑并指导企业加强质量管理，引导问题产品积极整改，现场咨询、交流氛围热烈。</w:t>
      </w:r>
    </w:p>
    <w:p>
      <w:pPr>
        <w:pStyle w:val="26"/>
        <w:numPr>
          <w:ilvl w:val="255"/>
          <w:numId w:val="0"/>
        </w:numPr>
        <w:ind w:firstLine="640"/>
        <w:jc w:val="both"/>
        <w:outlineLvl w:val="9"/>
        <w:rPr>
          <w:rFonts w:hint="eastAsia" w:ascii="仿宋_GB2312" w:hAnsi="仿宋_GB2312" w:eastAsia="仿宋_GB2312" w:cs="仿宋_GB2312"/>
          <w:color w:val="191919"/>
          <w:sz w:val="32"/>
          <w:szCs w:val="32"/>
          <w:shd w:val="clear" w:fill="FFFFFF"/>
          <w:lang w:eastAsia="zh-CN"/>
        </w:rPr>
      </w:pPr>
      <w:r>
        <w:rPr>
          <w:rFonts w:hint="eastAsia" w:ascii="仿宋_GB2312" w:hAnsi="仿宋_GB2312" w:eastAsia="仿宋_GB2312" w:cs="仿宋_GB2312"/>
          <w:color w:val="191919"/>
          <w:sz w:val="32"/>
          <w:szCs w:val="32"/>
          <w:shd w:val="clear" w:fill="FFFFFF"/>
        </w:rPr>
        <w:t>同时，面向参会企业派发了《电动</w:t>
      </w:r>
      <w:r>
        <w:rPr>
          <w:rFonts w:hint="eastAsia" w:ascii="仿宋_GB2312" w:hAnsi="仿宋_GB2312" w:eastAsia="仿宋_GB2312" w:cs="仿宋_GB2312"/>
          <w:color w:val="191919"/>
          <w:sz w:val="32"/>
          <w:szCs w:val="32"/>
          <w:shd w:val="clear" w:fill="FFFFFF"/>
          <w:lang w:val="en-US" w:eastAsia="zh-CN"/>
        </w:rPr>
        <w:t>自</w:t>
      </w:r>
      <w:r>
        <w:rPr>
          <w:rFonts w:hint="eastAsia" w:ascii="仿宋_GB2312" w:hAnsi="仿宋_GB2312" w:eastAsia="仿宋_GB2312" w:cs="仿宋_GB2312"/>
          <w:color w:val="191919"/>
          <w:sz w:val="32"/>
          <w:szCs w:val="32"/>
          <w:shd w:val="clear" w:fill="FFFFFF"/>
        </w:rPr>
        <w:t>行车上牌操作指引》宣传册，强调了对不合符上牌标准的电动自行车实行置换工作，推动销售门店实行“带牌销售”及引导消费者主动上牌</w:t>
      </w:r>
      <w:r>
        <w:rPr>
          <w:rFonts w:hint="eastAsia" w:ascii="仿宋_GB2312" w:hAnsi="仿宋_GB2312" w:eastAsia="仿宋_GB2312" w:cs="仿宋_GB2312"/>
          <w:color w:val="191919"/>
          <w:sz w:val="32"/>
          <w:szCs w:val="32"/>
          <w:shd w:val="clear" w:fill="FFFFFF"/>
          <w:lang w:eastAsia="zh-CN"/>
        </w:rPr>
        <w:t>。</w:t>
      </w:r>
    </w:p>
    <w:p>
      <w:pPr>
        <w:pStyle w:val="26"/>
        <w:numPr>
          <w:ilvl w:val="255"/>
          <w:numId w:val="0"/>
        </w:numPr>
        <w:ind w:firstLine="640"/>
        <w:jc w:val="both"/>
        <w:outlineLvl w:val="9"/>
        <w:rPr>
          <w:rFonts w:hint="eastAsia" w:ascii="仿宋_GB2312" w:hAnsi="仿宋_GB2312" w:eastAsia="仿宋_GB2312" w:cs="仿宋_GB2312"/>
          <w:b w:val="0"/>
          <w:bCs w:val="0"/>
          <w:color w:val="191919"/>
          <w:sz w:val="32"/>
          <w:szCs w:val="32"/>
          <w:highlight w:val="none"/>
          <w:shd w:val="clear" w:fill="FFFFFF"/>
          <w:lang w:eastAsia="zh-CN"/>
        </w:rPr>
      </w:pPr>
      <w:r>
        <w:rPr>
          <w:rFonts w:hint="eastAsia" w:ascii="仿宋_GB2312" w:hAnsi="仿宋_GB2312" w:eastAsia="仿宋_GB2312" w:cs="仿宋_GB2312"/>
          <w:color w:val="191919"/>
          <w:sz w:val="32"/>
          <w:szCs w:val="32"/>
          <w:shd w:val="clear" w:fill="FFFFFF"/>
        </w:rPr>
        <w:t>最后，全体参会企业签订了电动自行车产品质量安全责任承诺书，做出了守法诚信经营承诺，进一步落实了企业主体责任。</w:t>
      </w:r>
      <w:bookmarkEnd w:id="111"/>
      <w:bookmarkEnd w:id="112"/>
      <w:bookmarkEnd w:id="113"/>
    </w:p>
    <w:p>
      <w:pPr>
        <w:pStyle w:val="26"/>
        <w:numPr>
          <w:ilvl w:val="255"/>
          <w:numId w:val="0"/>
        </w:numPr>
        <w:jc w:val="left"/>
        <w:outlineLvl w:val="1"/>
        <w:rPr>
          <w:rFonts w:ascii="楷体" w:hAnsi="楷体" w:eastAsia="楷体" w:cs="仿宋_GB2312"/>
          <w:sz w:val="32"/>
          <w:szCs w:val="32"/>
        </w:rPr>
      </w:pPr>
      <w:bookmarkStart w:id="114" w:name="_Toc30063"/>
      <w:bookmarkStart w:id="115" w:name="_Toc31448"/>
      <w:bookmarkStart w:id="116" w:name="_Toc4651"/>
      <w:bookmarkStart w:id="117" w:name="_Toc13537"/>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）质量提升措施</w:t>
      </w:r>
      <w:bookmarkEnd w:id="108"/>
      <w:bookmarkEnd w:id="109"/>
      <w:bookmarkEnd w:id="110"/>
      <w:bookmarkEnd w:id="114"/>
      <w:bookmarkEnd w:id="115"/>
      <w:bookmarkEnd w:id="116"/>
      <w:bookmarkEnd w:id="117"/>
      <w:r>
        <w:rPr>
          <w:rFonts w:hint="eastAsia" w:ascii="仿宋_GB2312" w:hAnsi="仿宋_GB2312" w:eastAsia="仿宋_GB2312" w:cs="仿宋_GB2312"/>
          <w:b/>
          <w:bCs/>
          <w:sz w:val="32"/>
          <w:szCs w:val="32"/>
        </w:rPr>
        <w:t xml:space="preserve">  </w:t>
      </w:r>
      <w:r>
        <w:rPr>
          <w:rFonts w:hint="eastAsia" w:ascii="楷体" w:hAnsi="楷体" w:eastAsia="楷体" w:cs="仿宋_GB2312"/>
          <w:sz w:val="32"/>
          <w:szCs w:val="32"/>
        </w:rPr>
        <w:t xml:space="preserve"> </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督促销售门店严格按照国家标准及法规要求进行销售，且销售产品不篡改，确保产品一致性。严厉查处经营者非法改装和拆卸原厂配件、更换大功率蓄电池、拆除限速器、改装加装鞍座、衣架等关键部件行为。</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要求销售门店建立完善的进货及销售台账，应对进货车辆进行逐台核实产品一致性信息。</w:t>
      </w:r>
    </w:p>
    <w:p>
      <w:pPr>
        <w:ind w:firstLine="643" w:firstLineChars="200"/>
        <w:rPr>
          <w:rFonts w:ascii="楷体" w:hAnsi="楷体" w:eastAsia="楷体" w:cs="仿宋_GB2312"/>
          <w:sz w:val="32"/>
          <w:szCs w:val="32"/>
        </w:rPr>
      </w:pP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对存在核查不符合或安全隐患的电动自行车，应加大该产品的核查范围及力度，及时查明原因，消除安全隐患。</w:t>
      </w:r>
    </w:p>
    <w:p>
      <w:pPr>
        <w:tabs>
          <w:tab w:val="left" w:pos="1888"/>
        </w:tabs>
        <w:jc w:val="left"/>
        <w:outlineLvl w:val="0"/>
        <w:rPr>
          <w:rFonts w:hint="eastAsia" w:ascii="黑体" w:hAnsi="黑体" w:eastAsia="黑体" w:cs="黑体"/>
          <w:sz w:val="32"/>
          <w:szCs w:val="32"/>
        </w:rPr>
      </w:pPr>
      <w:bookmarkStart w:id="118" w:name="_Toc648"/>
      <w:bookmarkStart w:id="119" w:name="_Toc14709"/>
      <w:bookmarkStart w:id="120" w:name="_Toc6261"/>
      <w:bookmarkStart w:id="121" w:name="_Toc19319"/>
      <w:bookmarkStart w:id="122" w:name="_Toc15098"/>
      <w:bookmarkStart w:id="123" w:name="_Toc4946"/>
      <w:bookmarkStart w:id="124" w:name="_Toc6901"/>
    </w:p>
    <w:p>
      <w:pPr>
        <w:tabs>
          <w:tab w:val="left" w:pos="1888"/>
        </w:tabs>
        <w:jc w:val="left"/>
        <w:outlineLvl w:val="0"/>
        <w:rPr>
          <w:rFonts w:ascii="黑体" w:hAnsi="黑体" w:eastAsia="黑体" w:cs="黑体"/>
          <w:sz w:val="32"/>
          <w:szCs w:val="32"/>
        </w:rPr>
      </w:pPr>
      <w:r>
        <w:rPr>
          <w:rFonts w:hint="eastAsia" w:ascii="黑体" w:hAnsi="黑体" w:eastAsia="黑体" w:cs="黑体"/>
          <w:sz w:val="32"/>
          <w:szCs w:val="32"/>
        </w:rPr>
        <w:t>五、总结及建议</w:t>
      </w:r>
      <w:bookmarkEnd w:id="118"/>
      <w:bookmarkEnd w:id="119"/>
      <w:bookmarkEnd w:id="120"/>
      <w:bookmarkEnd w:id="121"/>
      <w:bookmarkEnd w:id="122"/>
      <w:bookmarkEnd w:id="123"/>
      <w:bookmarkEnd w:id="124"/>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市市场监管局福田局高度重视产品质量提升工作，充分发挥质量基础设施优势，采用质量技术结合监督抽查、快速检测结果，为辖区电动自行车产品相关问题、相关销售门店开展质量技术帮扶工作，</w:t>
      </w:r>
      <w:r>
        <w:rPr>
          <w:rFonts w:hint="eastAsia" w:ascii="仿宋_GB2312" w:hAnsi="仿宋_GB2312" w:eastAsia="仿宋_GB2312" w:cs="仿宋_GB2312"/>
          <w:color w:val="auto"/>
          <w:kern w:val="2"/>
          <w:sz w:val="32"/>
          <w:szCs w:val="32"/>
          <w:lang w:val="en-US" w:eastAsia="zh-CN" w:bidi="ar"/>
        </w:rPr>
        <w:t>切实解决辖区产品质量安全的普遍性、区域性、行业性问题。</w:t>
      </w:r>
      <w:r>
        <w:rPr>
          <w:rFonts w:hint="eastAsia" w:ascii="仿宋_GB2312" w:hAnsi="仿宋_GB2312" w:eastAsia="仿宋_GB2312" w:cs="仿宋_GB2312"/>
          <w:kern w:val="2"/>
          <w:sz w:val="32"/>
          <w:szCs w:val="32"/>
          <w:lang w:val="en-US" w:eastAsia="zh-CN" w:bidi="ar"/>
        </w:rPr>
        <w:t>联合市检测院共同制定福田区电动自行车产品质量帮扶计划，认真落实质量帮扶措施，加强</w:t>
      </w:r>
      <w:r>
        <w:rPr>
          <w:rFonts w:hint="eastAsia" w:ascii="仿宋_GB2312" w:hAnsi="仿宋_GB2312" w:eastAsia="仿宋_GB2312" w:cs="仿宋_GB2312"/>
          <w:color w:val="auto"/>
          <w:kern w:val="2"/>
          <w:sz w:val="32"/>
          <w:szCs w:val="32"/>
          <w:lang w:val="en-US" w:eastAsia="zh-CN" w:bidi="ar"/>
        </w:rPr>
        <w:t>工作协调和信息互通</w:t>
      </w:r>
      <w:r>
        <w:rPr>
          <w:rFonts w:hint="eastAsia" w:ascii="仿宋_GB2312" w:hAnsi="仿宋_GB2312" w:eastAsia="仿宋_GB2312" w:cs="仿宋_GB2312"/>
          <w:kern w:val="2"/>
          <w:sz w:val="32"/>
          <w:szCs w:val="32"/>
          <w:lang w:val="en-US" w:eastAsia="zh-CN" w:bidi="ar"/>
        </w:rPr>
        <w:t>，组织技术专家下沉一线，实施精准帮扶。通过开展线下技术帮扶、质量提升培训会、进社区宣传活动等工作，围绕电动自行车产品质量问题针对辖区销售门店开展质量基础设施“一站式”技术帮扶，包括：提供标准解读、快速检测、质量核查、品牌培育等服务，切实解决产品质量提升中存在的瓶颈问题。</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开展企业“一对一”技术帮扶是市场监管部门扶持企业的工作创新，在核查现场既为经营者指出了产品问题所在，</w:t>
      </w:r>
      <w:r>
        <w:rPr>
          <w:rFonts w:hint="eastAsia" w:ascii="仿宋_GB2312" w:hAnsi="仿宋_GB2312" w:eastAsia="仿宋_GB2312" w:cs="仿宋_GB2312"/>
          <w:color w:val="auto"/>
          <w:sz w:val="32"/>
          <w:szCs w:val="32"/>
        </w:rPr>
        <w:t>同时通过</w:t>
      </w:r>
      <w:r>
        <w:rPr>
          <w:rFonts w:hint="eastAsia" w:ascii="仿宋_GB2312" w:hAnsi="仿宋_GB2312" w:eastAsia="仿宋_GB2312" w:cs="仿宋_GB2312"/>
          <w:b w:val="0"/>
          <w:bCs w:val="0"/>
          <w:color w:val="auto"/>
          <w:sz w:val="32"/>
          <w:szCs w:val="32"/>
        </w:rPr>
        <w:t>现场与经营者面对面开展技术帮扶，为其排忧解惑，增强质量意识和对标准的理解。</w:t>
      </w:r>
      <w:r>
        <w:rPr>
          <w:rFonts w:hint="eastAsia" w:ascii="仿宋_GB2312" w:hAnsi="仿宋_GB2312" w:eastAsia="仿宋_GB2312" w:cs="仿宋_GB2312"/>
          <w:b w:val="0"/>
          <w:bCs w:val="0"/>
          <w:color w:val="auto"/>
          <w:sz w:val="32"/>
          <w:szCs w:val="32"/>
          <w:lang w:val="en-US" w:eastAsia="zh-CN"/>
        </w:rPr>
        <w:t>经前期核查发现，2022年福田区电动自行车快检销售门店不符合率高达80.0%，通过本次市市场监管局福田局组织“一对一”技术帮扶后，福田区销售门店不符合率有明显下降。</w:t>
      </w:r>
      <w:r>
        <w:rPr>
          <w:rFonts w:hint="eastAsia" w:ascii="仿宋_GB2312" w:hAnsi="仿宋_GB2312" w:eastAsia="仿宋_GB2312" w:cs="仿宋_GB2312"/>
          <w:b w:val="0"/>
          <w:bCs w:val="0"/>
          <w:color w:val="auto"/>
          <w:sz w:val="32"/>
          <w:szCs w:val="32"/>
        </w:rPr>
        <w:t>本次走访核查发现，福田区销售门店不符合</w:t>
      </w:r>
      <w:r>
        <w:rPr>
          <w:rFonts w:hint="eastAsia" w:ascii="仿宋_GB2312" w:hAnsi="仿宋_GB2312" w:eastAsia="仿宋_GB2312" w:cs="仿宋_GB2312"/>
          <w:b w:val="0"/>
          <w:bCs w:val="0"/>
          <w:color w:val="auto"/>
          <w:sz w:val="32"/>
          <w:szCs w:val="32"/>
          <w:lang w:val="en-US" w:eastAsia="zh-CN"/>
        </w:rPr>
        <w:t>率下</w:t>
      </w:r>
      <w:r>
        <w:rPr>
          <w:rFonts w:hint="eastAsia" w:ascii="仿宋_GB2312" w:hAnsi="仿宋_GB2312" w:eastAsia="仿宋_GB2312" w:cs="仿宋_GB2312"/>
          <w:color w:val="auto"/>
          <w:sz w:val="32"/>
          <w:szCs w:val="32"/>
          <w:lang w:val="en-US" w:eastAsia="zh-CN"/>
        </w:rPr>
        <w:t>降至</w:t>
      </w:r>
      <w:r>
        <w:rPr>
          <w:rFonts w:hint="eastAsia" w:ascii="仿宋_GB2312" w:hAnsi="仿宋_GB2312" w:eastAsia="仿宋_GB2312" w:cs="仿宋_GB2312"/>
          <w:color w:val="auto"/>
          <w:sz w:val="32"/>
          <w:szCs w:val="32"/>
        </w:rPr>
        <w:t>58.3%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主要</w:t>
      </w:r>
      <w:r>
        <w:rPr>
          <w:rFonts w:ascii="仿宋_GB2312" w:hAnsi="仿宋_GB2312" w:eastAsia="仿宋_GB2312" w:cs="仿宋_GB2312"/>
          <w:sz w:val="32"/>
          <w:szCs w:val="32"/>
        </w:rPr>
        <w:t>不符合项目为</w:t>
      </w:r>
      <w:r>
        <w:rPr>
          <w:rFonts w:hint="eastAsia" w:ascii="仿宋_GB2312" w:hAnsi="仿宋_GB2312" w:eastAsia="仿宋_GB2312" w:cs="仿宋_GB2312"/>
          <w:sz w:val="32"/>
          <w:szCs w:val="32"/>
        </w:rPr>
        <w:t>鞍座长度</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本次质量提升培训会，技术专家为销售门店详细讲解了电动自行车产品标准、</w:t>
      </w:r>
      <w:r>
        <w:rPr>
          <w:rFonts w:hint="eastAsia" w:ascii="仿宋_GB2312" w:hAnsi="仿宋_GB2312" w:eastAsia="仿宋_GB2312" w:cs="仿宋_GB2312"/>
          <w:i w:val="0"/>
          <w:iCs w:val="0"/>
          <w:caps w:val="0"/>
          <w:spacing w:val="0"/>
          <w:sz w:val="32"/>
          <w:szCs w:val="32"/>
          <w:shd w:val="clear"/>
        </w:rPr>
        <w:t>电动自行车常见质量问题分析、产品一致性检查及非法改装案例分析以及电动自行车上牌和置换相关内容</w:t>
      </w:r>
      <w:r>
        <w:rPr>
          <w:rFonts w:hint="eastAsia" w:ascii="仿宋_GB2312" w:hAnsi="仿宋_GB2312" w:eastAsia="仿宋_GB2312" w:cs="仿宋_GB2312"/>
          <w:color w:val="auto"/>
          <w:sz w:val="32"/>
          <w:szCs w:val="32"/>
          <w:lang w:val="en-US" w:eastAsia="zh-CN"/>
        </w:rPr>
        <w:t>；为</w:t>
      </w:r>
      <w:r>
        <w:rPr>
          <w:rFonts w:hint="eastAsia" w:ascii="仿宋_GB2312" w:hAnsi="仿宋_GB2312" w:eastAsia="仿宋_GB2312" w:cs="仿宋_GB2312"/>
          <w:b w:val="0"/>
          <w:i w:val="0"/>
          <w:caps w:val="0"/>
          <w:color w:val="auto"/>
          <w:spacing w:val="0"/>
          <w:sz w:val="32"/>
          <w:szCs w:val="32"/>
          <w:shd w:val="clear"/>
          <w:lang w:val="en-US" w:eastAsia="zh-CN"/>
        </w:rPr>
        <w:t>销售门店</w:t>
      </w:r>
      <w:r>
        <w:rPr>
          <w:rFonts w:hint="eastAsia" w:ascii="仿宋_GB2312" w:hAnsi="仿宋_GB2312" w:eastAsia="仿宋_GB2312" w:cs="仿宋_GB2312"/>
          <w:b w:val="0"/>
          <w:i w:val="0"/>
          <w:caps w:val="0"/>
          <w:color w:val="auto"/>
          <w:spacing w:val="0"/>
          <w:sz w:val="32"/>
          <w:szCs w:val="32"/>
          <w:shd w:val="clear" w:color="auto" w:fill="auto"/>
          <w:lang w:val="en-US" w:eastAsia="zh-CN"/>
        </w:rPr>
        <w:t>进行一对一的指导，</w:t>
      </w:r>
      <w:r>
        <w:rPr>
          <w:rFonts w:hint="eastAsia" w:ascii="仿宋_GB2312" w:hAnsi="仿宋_GB2312" w:eastAsia="仿宋_GB2312" w:cs="仿宋_GB2312"/>
          <w:b w:val="0"/>
          <w:i w:val="0"/>
          <w:caps w:val="0"/>
          <w:color w:val="auto"/>
          <w:spacing w:val="0"/>
          <w:sz w:val="32"/>
          <w:szCs w:val="32"/>
          <w:shd w:val="clear"/>
          <w:lang w:val="en-US" w:eastAsia="zh-CN"/>
        </w:rPr>
        <w:t>给其</w:t>
      </w:r>
      <w:r>
        <w:rPr>
          <w:rFonts w:hint="eastAsia" w:ascii="仿宋_GB2312" w:hAnsi="仿宋_GB2312" w:eastAsia="仿宋_GB2312" w:cs="仿宋_GB2312"/>
          <w:b w:val="0"/>
          <w:i w:val="0"/>
          <w:caps w:val="0"/>
          <w:color w:val="auto"/>
          <w:spacing w:val="0"/>
          <w:sz w:val="32"/>
          <w:szCs w:val="32"/>
          <w:shd w:val="clear" w:color="auto" w:fill="auto"/>
          <w:lang w:val="en-US" w:eastAsia="zh-CN"/>
        </w:rPr>
        <w:t>答疑解惑，指导加强质量管理，引导问题产品积极整改</w:t>
      </w:r>
      <w:r>
        <w:rPr>
          <w:rFonts w:hint="eastAsia" w:ascii="仿宋_GB2312" w:hAnsi="仿宋_GB2312" w:eastAsia="仿宋_GB2312" w:cs="仿宋_GB2312"/>
          <w:b w:val="0"/>
          <w:i w:val="0"/>
          <w:caps w:val="0"/>
          <w:color w:val="auto"/>
          <w:spacing w:val="0"/>
          <w:sz w:val="32"/>
          <w:szCs w:val="32"/>
          <w:shd w:val="clear"/>
          <w:lang w:val="en-US" w:eastAsia="zh-CN"/>
        </w:rPr>
        <w:t>，切实帮助销售门店解决实际问题，提高产品质量，提升市场竞争力。</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一对一”技术帮扶过程中</w:t>
      </w:r>
      <w:r>
        <w:rPr>
          <w:rFonts w:hint="eastAsia" w:ascii="仿宋_GB2312" w:hAnsi="仿宋_GB2312" w:eastAsia="仿宋_GB2312" w:cs="仿宋_GB2312"/>
          <w:sz w:val="32"/>
          <w:szCs w:val="32"/>
          <w:lang w:eastAsia="zh-CN"/>
        </w:rPr>
        <w:t>市市场监管局福田局</w:t>
      </w:r>
      <w:r>
        <w:rPr>
          <w:rFonts w:hint="eastAsia" w:ascii="仿宋_GB2312" w:hAnsi="仿宋_GB2312" w:eastAsia="仿宋_GB2312" w:cs="仿宋_GB2312"/>
          <w:sz w:val="32"/>
          <w:szCs w:val="32"/>
        </w:rPr>
        <w:t>联合</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检测院在销售门店，学校周边，市场周边，城中村，社区及电动自行车集中区域为消费者宣传电动自行车上牌指引和置换工作，全面推进电动自行车门店“带牌销售”，对于仍未授权“带牌销售”的门店，要求销售时引导消费者主动上牌。本次“一对一”技术帮扶共发放电动自行车上牌操作指引127份。</w:t>
      </w:r>
    </w:p>
    <w:p>
      <w:pPr>
        <w:ind w:firstLine="640" w:firstLineChars="200"/>
        <w:rPr>
          <w:rFonts w:hint="eastAsia" w:ascii="仿宋_GB2312" w:hAnsi="仿宋_GB2312" w:eastAsia="仿宋_GB2312" w:cs="仿宋_GB2312"/>
          <w:sz w:val="32"/>
          <w:szCs w:val="32"/>
          <w:highlight w:val="yellow"/>
          <w:lang w:eastAsia="zh-CN"/>
        </w:rPr>
      </w:pPr>
    </w:p>
    <w:p>
      <w:pPr>
        <w:ind w:firstLine="0" w:firstLineChars="0"/>
        <w:rPr>
          <w:rFonts w:ascii="楷体" w:hAnsi="楷体" w:eastAsia="宋体" w:cs="仿宋_GB2312"/>
          <w:sz w:val="32"/>
          <w:szCs w:val="32"/>
        </w:rPr>
      </w:pPr>
      <w:r>
        <w:rPr>
          <w:rFonts w:hint="eastAsia" w:ascii="楷体" w:hAnsi="楷体" w:eastAsia="宋体" w:cs="仿宋_GB2312"/>
          <w:sz w:val="32"/>
          <w:szCs w:val="32"/>
        </w:rPr>
        <w:drawing>
          <wp:inline distT="0" distB="0" distL="114300" distR="114300">
            <wp:extent cx="5541645" cy="3896360"/>
            <wp:effectExtent l="0" t="0" r="1905" b="8890"/>
            <wp:docPr id="2" name="图片 2" descr="WLTIKK31U55WBH3VGT1%J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LTIKK31U55WBH3VGT1%JHG"/>
                    <pic:cNvPicPr>
                      <a:picLocks noChangeAspect="1"/>
                    </pic:cNvPicPr>
                  </pic:nvPicPr>
                  <pic:blipFill>
                    <a:blip r:embed="rId13"/>
                    <a:stretch>
                      <a:fillRect/>
                    </a:stretch>
                  </pic:blipFill>
                  <pic:spPr>
                    <a:xfrm>
                      <a:off x="0" y="0"/>
                      <a:ext cx="5541645" cy="3896360"/>
                    </a:xfrm>
                    <a:prstGeom prst="rect">
                      <a:avLst/>
                    </a:prstGeom>
                  </pic:spPr>
                </pic:pic>
              </a:graphicData>
            </a:graphic>
          </wp:inline>
        </w:drawing>
      </w:r>
    </w:p>
    <w:p>
      <w:pPr>
        <w:ind w:firstLine="640" w:firstLineChars="200"/>
        <w:rPr>
          <w:rFonts w:ascii="楷体" w:hAnsi="楷体" w:eastAsia="宋体" w:cs="仿宋_GB2312"/>
          <w:sz w:val="32"/>
          <w:szCs w:val="32"/>
        </w:rPr>
      </w:pPr>
      <w:r>
        <w:rPr>
          <w:rFonts w:hint="eastAsia" w:ascii="楷体" w:hAnsi="楷体" w:eastAsia="宋体" w:cs="仿宋_GB2312"/>
          <w:sz w:val="32"/>
          <w:szCs w:val="32"/>
        </w:rPr>
        <w:drawing>
          <wp:inline distT="0" distB="0" distL="114300" distR="114300">
            <wp:extent cx="5267325" cy="3533775"/>
            <wp:effectExtent l="0" t="0" r="9525" b="9525"/>
            <wp:docPr id="3" name="图片 3" descr="FTQ_OEM`8KIBEB57X3)P5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TQ_OEM`8KIBEB57X3)P58M"/>
                    <pic:cNvPicPr>
                      <a:picLocks noChangeAspect="1"/>
                    </pic:cNvPicPr>
                  </pic:nvPicPr>
                  <pic:blipFill>
                    <a:blip r:embed="rId14"/>
                    <a:stretch>
                      <a:fillRect/>
                    </a:stretch>
                  </pic:blipFill>
                  <pic:spPr>
                    <a:xfrm>
                      <a:off x="0" y="0"/>
                      <a:ext cx="5267325" cy="3533775"/>
                    </a:xfrm>
                    <a:prstGeom prst="rect">
                      <a:avLst/>
                    </a:prstGeom>
                  </pic:spPr>
                </pic:pic>
              </a:graphicData>
            </a:graphic>
          </wp:inline>
        </w:drawing>
      </w:r>
    </w:p>
    <w:p>
      <w:pPr>
        <w:widowControl/>
        <w:jc w:val="center"/>
        <w:rPr>
          <w:rFonts w:ascii="宋体" w:hAnsi="宋体" w:eastAsia="宋体" w:cs="宋体"/>
          <w:kern w:val="0"/>
          <w:sz w:val="24"/>
        </w:rPr>
      </w:pPr>
      <w:r>
        <w:rPr>
          <w:rFonts w:ascii="宋体" w:hAnsi="宋体" w:eastAsia="宋体" w:cs="宋体"/>
          <w:kern w:val="0"/>
          <w:sz w:val="24"/>
        </w:rPr>
        <w:drawing>
          <wp:inline distT="0" distB="0" distL="114300" distR="114300">
            <wp:extent cx="4438650" cy="4986020"/>
            <wp:effectExtent l="0" t="0" r="0" b="5080"/>
            <wp:docPr id="4" name="图片 4" descr="`%O~@S50`3E_@2NHH~FKH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S50`3E_@2NHH~FKHV7"/>
                    <pic:cNvPicPr>
                      <a:picLocks noChangeAspect="1"/>
                    </pic:cNvPicPr>
                  </pic:nvPicPr>
                  <pic:blipFill>
                    <a:blip r:embed="rId15"/>
                    <a:stretch>
                      <a:fillRect/>
                    </a:stretch>
                  </pic:blipFill>
                  <pic:spPr>
                    <a:xfrm>
                      <a:off x="0" y="0"/>
                      <a:ext cx="4438650" cy="4986020"/>
                    </a:xfrm>
                    <a:prstGeom prst="rect">
                      <a:avLst/>
                    </a:prstGeom>
                  </pic:spPr>
                </pic:pic>
              </a:graphicData>
            </a:graphic>
          </wp:inline>
        </w:drawing>
      </w:r>
    </w:p>
    <w:p>
      <w:pPr>
        <w:pStyle w:val="26"/>
        <w:numPr>
          <w:ilvl w:val="255"/>
          <w:numId w:val="0"/>
        </w:numPr>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质量提升建议：</w:t>
      </w:r>
    </w:p>
    <w:p>
      <w:pPr>
        <w:pStyle w:val="26"/>
        <w:numPr>
          <w:ilvl w:val="255"/>
          <w:numId w:val="0"/>
        </w:numPr>
        <w:ind w:left="-643" w:leftChars="0" w:firstLine="643" w:firstLineChars="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    （一）严格落实企业主体责任</w:t>
      </w:r>
    </w:p>
    <w:p>
      <w:pPr>
        <w:numPr>
          <w:ilvl w:val="-1"/>
          <w:numId w:val="0"/>
        </w:numPr>
        <w:ind w:firstLine="640" w:firstLineChars="200"/>
        <w:rPr>
          <w:rFonts w:hint="eastAsia" w:ascii="仿宋_GB2312" w:hAnsi="仿宋_GB2312" w:eastAsia="仿宋_GB2312" w:cs="仿宋_GB2312"/>
          <w:b/>
          <w:bCs/>
          <w:sz w:val="32"/>
          <w:szCs w:val="32"/>
          <w:lang w:val="en-US" w:eastAsia="zh-CN"/>
        </w:rPr>
      </w:pPr>
      <w:r>
        <w:rPr>
          <w:rFonts w:hint="eastAsia" w:ascii="仿宋_GB2312" w:hAnsi="宋体" w:eastAsia="仿宋_GB2312" w:cs="Times New Roman"/>
          <w:color w:val="auto"/>
          <w:sz w:val="32"/>
          <w:szCs w:val="32"/>
          <w:highlight w:val="none"/>
          <w:rtl w:val="0"/>
          <w:lang w:val="en-US" w:eastAsia="zh-CN"/>
        </w:rPr>
        <w:t>道路千万条，安全第一条，建议销售门店要从服务保障、遵规守纪两方面统一协调、同向发力。一方面，着力抓好产品质量安全的“关键环节”，聚焦发现的问题，予以及时整改，坚定履行主体责任。一方面要提高站位，加强产品从进货、检查、至验收上架等产品质量安全工作相关流程的学习，以更全面的举措做好产品质量服务保障，扎实守护产品质量安全底线、守护消费者生命安全和身体健康。</w:t>
      </w:r>
    </w:p>
    <w:p>
      <w:pPr>
        <w:numPr>
          <w:ilvl w:val="-1"/>
          <w:numId w:val="0"/>
        </w:numPr>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1.明确人员职责</w:t>
      </w:r>
    </w:p>
    <w:p>
      <w:pPr>
        <w:numPr>
          <w:ilvl w:val="-1"/>
          <w:numId w:val="0"/>
        </w:numPr>
        <w:ind w:firstLine="640" w:firstLineChars="200"/>
        <w:rPr>
          <w:rFonts w:hint="eastAsia" w:ascii="仿宋_GB2312" w:hAnsi="仿宋_GB2312" w:eastAsia="仿宋_GB2312" w:cs="仿宋_GB2312"/>
          <w:b/>
          <w:bCs/>
          <w:sz w:val="32"/>
          <w:szCs w:val="32"/>
          <w:lang w:val="en-US" w:eastAsia="zh-CN"/>
        </w:rPr>
      </w:pPr>
      <w:r>
        <w:rPr>
          <w:rFonts w:hint="eastAsia" w:ascii="仿宋_GB2312" w:hAnsi="宋体" w:eastAsia="仿宋_GB2312"/>
          <w:sz w:val="32"/>
          <w:szCs w:val="32"/>
          <w:lang w:val="en-US" w:eastAsia="zh-CN"/>
        </w:rPr>
        <w:t>建议销售门店设立质量管理负责人，建立质量管理台账，核查门店销售的产品质量。电动自行车属于3C产品，在日常销售过程中需要核对电动自行车及配件是否符合标准及说明书要求，例如充电器、电池的型号规格需要与产品出厂时保持一致。质量管理负责人需要熟悉产品标准，发现所销售的电动自行车明示标准与产品标准不一致时，应及时反馈供货商。</w:t>
      </w:r>
    </w:p>
    <w:p>
      <w:pPr>
        <w:numPr>
          <w:ilvl w:val="-1"/>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2.积极配合做好产品不合格后处理</w:t>
      </w:r>
    </w:p>
    <w:p>
      <w:pPr>
        <w:autoSpaceDE w:val="0"/>
        <w:autoSpaceDN w:val="0"/>
        <w:adjustRightInd w:val="0"/>
        <w:spacing w:line="360" w:lineRule="auto"/>
        <w:ind w:firstLine="640" w:firstLineChars="200"/>
        <w:rPr>
          <w:rFonts w:hint="eastAsia" w:ascii="仿宋_GB2312" w:hAnsi="仿宋_GB2312" w:eastAsia="仿宋_GB2312" w:cs="仿宋_GB2312"/>
          <w:b/>
          <w:bCs/>
          <w:sz w:val="32"/>
          <w:szCs w:val="32"/>
          <w:lang w:val="en-US" w:eastAsia="zh-CN"/>
        </w:rPr>
      </w:pPr>
      <w:r>
        <w:rPr>
          <w:rFonts w:hint="eastAsia" w:ascii="仿宋_GB2312" w:hAnsi="宋体" w:eastAsia="仿宋_GB2312"/>
          <w:sz w:val="32"/>
          <w:szCs w:val="32"/>
          <w:lang w:val="en-US" w:eastAsia="zh-CN"/>
        </w:rPr>
        <w:t>明确企业主体责任，对于监管部门抽查发现的不合格品，应做好妥善处理，配合监管部门做好不合格品核查工作。日常销售中，建议做好不合格品的记录台账，杜绝不合格品流入市场。</w:t>
      </w:r>
    </w:p>
    <w:p>
      <w:pPr>
        <w:numPr>
          <w:ilvl w:val="-1"/>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3.加强供应商管理</w:t>
      </w:r>
    </w:p>
    <w:p>
      <w:pPr>
        <w:autoSpaceDE w:val="0"/>
        <w:autoSpaceDN w:val="0"/>
        <w:adjustRightInd w:val="0"/>
        <w:spacing w:line="360" w:lineRule="auto"/>
        <w:ind w:firstLine="640" w:firstLineChars="200"/>
        <w:rPr>
          <w:rFonts w:hint="eastAsia" w:ascii="仿宋_GB2312" w:hAnsi="宋体" w:eastAsia="仿宋_GB2312"/>
          <w:sz w:val="32"/>
          <w:szCs w:val="32"/>
        </w:rPr>
      </w:pPr>
      <w:r>
        <w:rPr>
          <w:rFonts w:hint="eastAsia" w:ascii="仿宋_GB2312" w:hAnsi="宋体" w:eastAsia="仿宋_GB2312"/>
          <w:sz w:val="32"/>
          <w:szCs w:val="32"/>
        </w:rPr>
        <w:t>质量是</w:t>
      </w:r>
      <w:r>
        <w:rPr>
          <w:rFonts w:hint="eastAsia" w:ascii="仿宋_GB2312" w:hAnsi="宋体" w:eastAsia="仿宋_GB2312"/>
          <w:sz w:val="32"/>
          <w:szCs w:val="32"/>
          <w:lang w:val="en-US" w:eastAsia="zh-CN"/>
        </w:rPr>
        <w:t>产品</w:t>
      </w:r>
      <w:r>
        <w:rPr>
          <w:rFonts w:hint="eastAsia" w:ascii="仿宋_GB2312" w:hAnsi="宋体" w:eastAsia="仿宋_GB2312"/>
          <w:sz w:val="32"/>
          <w:szCs w:val="32"/>
        </w:rPr>
        <w:t>采购的首要考虑因素，因为质量最终会反映到</w:t>
      </w:r>
      <w:r>
        <w:rPr>
          <w:rFonts w:hint="eastAsia" w:ascii="仿宋_GB2312" w:hAnsi="宋体" w:eastAsia="仿宋_GB2312"/>
          <w:sz w:val="32"/>
          <w:szCs w:val="32"/>
          <w:lang w:val="en-US" w:eastAsia="zh-CN"/>
        </w:rPr>
        <w:t>企业</w:t>
      </w:r>
      <w:r>
        <w:rPr>
          <w:rFonts w:hint="eastAsia" w:ascii="仿宋_GB2312" w:hAnsi="宋体" w:eastAsia="仿宋_GB2312"/>
          <w:sz w:val="32"/>
          <w:szCs w:val="32"/>
        </w:rPr>
        <w:t>总成本甚至品牌声誉，是衡量供应商的第一要素。首先要确认供应商是否有一套保证产品质量的稳定有效运行的质量体系，然后要确认其设备和工艺能力是否满足所购产品的要求。</w:t>
      </w:r>
    </w:p>
    <w:p>
      <w:pPr>
        <w:autoSpaceDE w:val="0"/>
        <w:autoSpaceDN w:val="0"/>
        <w:adjustRightInd w:val="0"/>
        <w:spacing w:line="360" w:lineRule="auto"/>
        <w:ind w:firstLine="640" w:firstLineChars="200"/>
        <w:rPr>
          <w:rFonts w:hint="eastAsia" w:ascii="仿宋_GB2312" w:hAnsi="仿宋_GB2312" w:eastAsia="仿宋_GB2312" w:cs="仿宋_GB2312"/>
          <w:b/>
          <w:bCs/>
          <w:sz w:val="32"/>
          <w:szCs w:val="32"/>
          <w:lang w:val="en-US" w:eastAsia="zh-CN"/>
        </w:rPr>
      </w:pPr>
      <w:r>
        <w:rPr>
          <w:rFonts w:hint="eastAsia" w:ascii="仿宋_GB2312" w:hAnsi="宋体" w:eastAsia="仿宋_GB2312"/>
          <w:sz w:val="32"/>
          <w:szCs w:val="32"/>
        </w:rPr>
        <w:t>对于采购的</w:t>
      </w:r>
      <w:r>
        <w:rPr>
          <w:rFonts w:hint="eastAsia" w:ascii="仿宋_GB2312" w:hAnsi="宋体" w:eastAsia="仿宋_GB2312"/>
          <w:sz w:val="32"/>
          <w:szCs w:val="32"/>
          <w:lang w:val="en-US" w:eastAsia="zh-CN"/>
        </w:rPr>
        <w:t>产品</w:t>
      </w:r>
      <w:r>
        <w:rPr>
          <w:rFonts w:hint="eastAsia" w:ascii="仿宋_GB2312" w:hAnsi="宋体" w:eastAsia="仿宋_GB2312"/>
          <w:sz w:val="32"/>
          <w:szCs w:val="32"/>
        </w:rPr>
        <w:t>，企业应识别并在采购</w:t>
      </w:r>
      <w:r>
        <w:rPr>
          <w:rFonts w:hint="eastAsia" w:ascii="仿宋_GB2312" w:hAnsi="宋体" w:eastAsia="仿宋_GB2312"/>
          <w:sz w:val="32"/>
          <w:szCs w:val="32"/>
          <w:lang w:val="en-US" w:eastAsia="zh-CN"/>
        </w:rPr>
        <w:t>单</w:t>
      </w:r>
      <w:r>
        <w:rPr>
          <w:rFonts w:hint="eastAsia" w:ascii="仿宋_GB2312" w:hAnsi="宋体" w:eastAsia="仿宋_GB2312"/>
          <w:sz w:val="32"/>
          <w:szCs w:val="32"/>
        </w:rPr>
        <w:t>中明确其技术要求，该技术要求还应确保最终产品满足认证要求。</w:t>
      </w:r>
      <w:r>
        <w:rPr>
          <w:rFonts w:hint="eastAsia" w:ascii="仿宋_GB2312" w:hAnsi="宋体" w:eastAsia="仿宋_GB2312"/>
          <w:sz w:val="32"/>
          <w:szCs w:val="32"/>
          <w:lang w:val="en-US" w:eastAsia="zh-CN"/>
        </w:rPr>
        <w:t>建议门店</w:t>
      </w:r>
      <w:r>
        <w:rPr>
          <w:rFonts w:hint="eastAsia" w:ascii="仿宋_GB2312" w:hAnsi="宋体" w:eastAsia="仿宋_GB2312"/>
          <w:sz w:val="32"/>
          <w:szCs w:val="32"/>
        </w:rPr>
        <w:t>建立合格供应商名录并从中采购</w:t>
      </w:r>
      <w:r>
        <w:rPr>
          <w:rFonts w:hint="eastAsia" w:ascii="仿宋_GB2312" w:hAnsi="宋体" w:eastAsia="仿宋_GB2312"/>
          <w:sz w:val="32"/>
          <w:szCs w:val="32"/>
          <w:lang w:val="en-US" w:eastAsia="zh-CN"/>
        </w:rPr>
        <w:t>符合要求的产品</w:t>
      </w:r>
      <w:r>
        <w:rPr>
          <w:rFonts w:hint="eastAsia" w:ascii="仿宋_GB2312" w:hAnsi="宋体" w:eastAsia="仿宋_GB2312"/>
          <w:sz w:val="32"/>
          <w:szCs w:val="32"/>
        </w:rPr>
        <w:t>，应保存采购、使用等记录，如进货单、出入库单、台帐等。</w:t>
      </w:r>
    </w:p>
    <w:p>
      <w:pPr>
        <w:numPr>
          <w:ilvl w:val="-1"/>
          <w:numId w:val="0"/>
        </w:numPr>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4.加强产品标准及法律法规的学习</w:t>
      </w:r>
    </w:p>
    <w:p>
      <w:pPr>
        <w:pStyle w:val="2"/>
        <w:numPr>
          <w:ilvl w:val="0"/>
          <w:numId w:val="0"/>
        </w:numPr>
        <w:ind w:firstLine="640" w:firstLineChars="200"/>
        <w:rPr>
          <w:rFonts w:hint="eastAsia" w:ascii="仿宋_GB2312" w:hAnsi="宋体" w:eastAsia="仿宋_GB2312" w:cstheme="minorBidi"/>
          <w:b w:val="0"/>
          <w:bCs w:val="0"/>
          <w:sz w:val="32"/>
          <w:szCs w:val="32"/>
          <w:lang w:val="en-US" w:eastAsia="zh-CN"/>
        </w:rPr>
      </w:pPr>
      <w:r>
        <w:rPr>
          <w:rFonts w:hint="eastAsia" w:ascii="仿宋_GB2312" w:hAnsi="宋体" w:eastAsia="仿宋_GB2312" w:cstheme="minorBidi"/>
          <w:b w:val="0"/>
          <w:bCs w:val="0"/>
          <w:sz w:val="32"/>
          <w:szCs w:val="32"/>
          <w:lang w:val="en-US" w:eastAsia="zh-CN"/>
        </w:rPr>
        <w:t>建议销售门店加强做好员工培训，产品执行标准及法律法规学习，加强学习《产品质量法》、《消费者权益保护法》。标准相关问题</w:t>
      </w:r>
      <w:r>
        <w:rPr>
          <w:rFonts w:hint="eastAsia" w:ascii="仿宋_GB2312" w:hAnsi="宋体" w:eastAsia="仿宋_GB2312" w:cs="Times New Roman"/>
          <w:bCs w:val="0"/>
          <w:color w:val="auto"/>
          <w:kern w:val="2"/>
          <w:sz w:val="32"/>
          <w:szCs w:val="32"/>
          <w:highlight w:val="none"/>
          <w:lang w:val="en-US" w:eastAsia="zh-CN" w:bidi="ar-SA"/>
        </w:rPr>
        <w:t>可以在“质慧说+深圳产品学校”平台进行学习，向技术专家咨询技术疑点和难点，也可以预约专家进行</w:t>
      </w:r>
      <w:r>
        <w:rPr>
          <w:rFonts w:hint="eastAsia" w:ascii="仿宋_GB2312" w:hAnsi="仿宋_GB2312" w:eastAsia="仿宋_GB2312" w:cs="仿宋_GB2312"/>
          <w:sz w:val="32"/>
          <w:szCs w:val="32"/>
          <w:lang w:eastAsia="zh-CN"/>
        </w:rPr>
        <w:t>线下辅导，通过</w:t>
      </w:r>
      <w:r>
        <w:rPr>
          <w:rFonts w:hint="eastAsia" w:ascii="仿宋_GB2312" w:hAnsi="宋体" w:eastAsia="仿宋_GB2312" w:cs="Times New Roman"/>
          <w:bCs w:val="0"/>
          <w:color w:val="auto"/>
          <w:kern w:val="2"/>
          <w:sz w:val="32"/>
          <w:szCs w:val="32"/>
          <w:highlight w:val="none"/>
          <w:lang w:val="en-US" w:eastAsia="zh-CN" w:bidi="ar-SA"/>
        </w:rPr>
        <w:t>提高对标准及法律法规的理解，更好地把控产品质量。</w:t>
      </w:r>
    </w:p>
    <w:p>
      <w:pPr>
        <w:numPr>
          <w:ilvl w:val="-1"/>
          <w:numId w:val="0"/>
        </w:numPr>
        <w:ind w:left="0" w:leftChars="0" w:firstLine="643" w:firstLineChars="20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（二）加大监管执法力度</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加大对市场所售电动自行车及其配件产品的监管力度，增加快检批次，扩大快检范围，更全面地覆盖辖区内所有电动自行车销售门店。</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规范行业秩序，严厉打击改装拼装、篡改最高车速等违法违规行为，对发现问题整改不到位，屡查屡犯者，建议约谈企业，实行黑名单管理。</w:t>
      </w:r>
    </w:p>
    <w:p>
      <w:pPr>
        <w:ind w:firstLine="643" w:firstLineChars="200"/>
        <w:rPr>
          <w:rFonts w:ascii="楷体" w:hAnsi="楷体" w:eastAsia="楷体" w:cs="仿宋_GB2312"/>
          <w:sz w:val="32"/>
          <w:szCs w:val="32"/>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14:textFill>
            <w14:solidFill>
              <w14:schemeClr w14:val="tx1"/>
            </w14:solidFill>
          </w14:textFill>
        </w:rPr>
        <w:t>是</w:t>
      </w:r>
      <w:r>
        <w:rPr>
          <w:rFonts w:hint="eastAsia" w:ascii="仿宋_GB2312" w:hAnsi="仿宋_GB2312" w:eastAsia="仿宋_GB2312" w:cs="仿宋_GB2312"/>
          <w:sz w:val="32"/>
          <w:szCs w:val="32"/>
        </w:rPr>
        <w:t>及时处理快检、核查后续工作，刚柔并济，帮扶企业提高产品质量，推动电动自行车行业高质量发展。</w:t>
      </w:r>
    </w:p>
    <w:p>
      <w:pPr>
        <w:ind w:firstLine="640" w:firstLineChars="200"/>
        <w:rPr>
          <w:rFonts w:hint="default" w:ascii="仿宋_GB2312" w:hAnsi="仿宋_GB2312" w:eastAsia="仿宋_GB2312" w:cs="仿宋_GB2312"/>
          <w:sz w:val="32"/>
          <w:szCs w:val="32"/>
          <w:lang w:val="en-US" w:eastAsia="zh-CN"/>
        </w:rPr>
      </w:pPr>
    </w:p>
    <w:sectPr>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34312F"/>
    <w:multiLevelType w:val="singleLevel"/>
    <w:tmpl w:val="9634312F"/>
    <w:lvl w:ilvl="0" w:tentative="0">
      <w:start w:val="1"/>
      <w:numFmt w:val="chineseCounting"/>
      <w:suff w:val="nothing"/>
      <w:lvlText w:val="%1、"/>
      <w:lvlJc w:val="left"/>
      <w:rPr>
        <w:rFonts w:hint="eastAsia"/>
      </w:rPr>
    </w:lvl>
  </w:abstractNum>
  <w:abstractNum w:abstractNumId="1">
    <w:nsid w:val="7D434B06"/>
    <w:multiLevelType w:val="multilevel"/>
    <w:tmpl w:val="7D434B06"/>
    <w:lvl w:ilvl="0" w:tentative="0">
      <w:start w:val="1"/>
      <w:numFmt w:val="ideographDigital"/>
      <w:pStyle w:val="2"/>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4YjZiNTllZjliNmQwMzQyMjAwN2I1NWY5MjAwZjYifQ=="/>
  </w:docVars>
  <w:rsids>
    <w:rsidRoot w:val="12731661"/>
    <w:rsid w:val="00001A51"/>
    <w:rsid w:val="00006CC7"/>
    <w:rsid w:val="00013922"/>
    <w:rsid w:val="00014D73"/>
    <w:rsid w:val="000204A8"/>
    <w:rsid w:val="00021B19"/>
    <w:rsid w:val="00021DDB"/>
    <w:rsid w:val="00023E3E"/>
    <w:rsid w:val="000275F8"/>
    <w:rsid w:val="00036B8B"/>
    <w:rsid w:val="00044A7D"/>
    <w:rsid w:val="00050131"/>
    <w:rsid w:val="00061905"/>
    <w:rsid w:val="0006431C"/>
    <w:rsid w:val="00074260"/>
    <w:rsid w:val="00080761"/>
    <w:rsid w:val="00083B74"/>
    <w:rsid w:val="00087EA8"/>
    <w:rsid w:val="00093D77"/>
    <w:rsid w:val="00095C1D"/>
    <w:rsid w:val="00097C7C"/>
    <w:rsid w:val="000A0078"/>
    <w:rsid w:val="000A4AFB"/>
    <w:rsid w:val="000B6F5C"/>
    <w:rsid w:val="000C7BB7"/>
    <w:rsid w:val="000D36C2"/>
    <w:rsid w:val="000D3CC7"/>
    <w:rsid w:val="000E564E"/>
    <w:rsid w:val="000F0E61"/>
    <w:rsid w:val="000F0F6F"/>
    <w:rsid w:val="000F21E3"/>
    <w:rsid w:val="000F220D"/>
    <w:rsid w:val="000F52E5"/>
    <w:rsid w:val="000F673D"/>
    <w:rsid w:val="00101C0C"/>
    <w:rsid w:val="00104C84"/>
    <w:rsid w:val="00107654"/>
    <w:rsid w:val="001119B1"/>
    <w:rsid w:val="00114A6C"/>
    <w:rsid w:val="001279DE"/>
    <w:rsid w:val="00147AE3"/>
    <w:rsid w:val="0015426A"/>
    <w:rsid w:val="001551F6"/>
    <w:rsid w:val="00166DA1"/>
    <w:rsid w:val="001812EC"/>
    <w:rsid w:val="0018312A"/>
    <w:rsid w:val="00194D47"/>
    <w:rsid w:val="00195718"/>
    <w:rsid w:val="001A0F4E"/>
    <w:rsid w:val="001B094C"/>
    <w:rsid w:val="001B3BCE"/>
    <w:rsid w:val="001B779E"/>
    <w:rsid w:val="001C129D"/>
    <w:rsid w:val="001E0942"/>
    <w:rsid w:val="001E1FD8"/>
    <w:rsid w:val="001F0D79"/>
    <w:rsid w:val="001F2CE8"/>
    <w:rsid w:val="00210928"/>
    <w:rsid w:val="00210960"/>
    <w:rsid w:val="00216B06"/>
    <w:rsid w:val="00220ECB"/>
    <w:rsid w:val="00224331"/>
    <w:rsid w:val="00226684"/>
    <w:rsid w:val="00232540"/>
    <w:rsid w:val="00233BB5"/>
    <w:rsid w:val="00233E1C"/>
    <w:rsid w:val="00234308"/>
    <w:rsid w:val="00247AD9"/>
    <w:rsid w:val="00254A5D"/>
    <w:rsid w:val="002554F6"/>
    <w:rsid w:val="00255E8A"/>
    <w:rsid w:val="00261351"/>
    <w:rsid w:val="00290F2A"/>
    <w:rsid w:val="002978D6"/>
    <w:rsid w:val="002A6705"/>
    <w:rsid w:val="002B62F1"/>
    <w:rsid w:val="002C0ABA"/>
    <w:rsid w:val="002C39EF"/>
    <w:rsid w:val="002D09E5"/>
    <w:rsid w:val="002D7980"/>
    <w:rsid w:val="002E45DA"/>
    <w:rsid w:val="002E63FE"/>
    <w:rsid w:val="002E7BE3"/>
    <w:rsid w:val="002F3617"/>
    <w:rsid w:val="00302249"/>
    <w:rsid w:val="00302EAC"/>
    <w:rsid w:val="00304413"/>
    <w:rsid w:val="00307E0B"/>
    <w:rsid w:val="00315258"/>
    <w:rsid w:val="00325BD6"/>
    <w:rsid w:val="0033042F"/>
    <w:rsid w:val="0034474B"/>
    <w:rsid w:val="003628CE"/>
    <w:rsid w:val="00370B65"/>
    <w:rsid w:val="00386B64"/>
    <w:rsid w:val="00387F78"/>
    <w:rsid w:val="00391471"/>
    <w:rsid w:val="003B1900"/>
    <w:rsid w:val="003B37E6"/>
    <w:rsid w:val="003C5650"/>
    <w:rsid w:val="003D6135"/>
    <w:rsid w:val="003D74BB"/>
    <w:rsid w:val="003D78F8"/>
    <w:rsid w:val="003D797F"/>
    <w:rsid w:val="003F093D"/>
    <w:rsid w:val="003F2DD9"/>
    <w:rsid w:val="003F4040"/>
    <w:rsid w:val="003F57BA"/>
    <w:rsid w:val="00407CCD"/>
    <w:rsid w:val="0041219F"/>
    <w:rsid w:val="0041430A"/>
    <w:rsid w:val="00421053"/>
    <w:rsid w:val="004259EA"/>
    <w:rsid w:val="00441CD3"/>
    <w:rsid w:val="00444995"/>
    <w:rsid w:val="00444B90"/>
    <w:rsid w:val="00452E44"/>
    <w:rsid w:val="00456187"/>
    <w:rsid w:val="0046641C"/>
    <w:rsid w:val="00470124"/>
    <w:rsid w:val="00471183"/>
    <w:rsid w:val="00477E6C"/>
    <w:rsid w:val="00490458"/>
    <w:rsid w:val="00492C69"/>
    <w:rsid w:val="00494580"/>
    <w:rsid w:val="004A12E1"/>
    <w:rsid w:val="004A297D"/>
    <w:rsid w:val="004A2BCE"/>
    <w:rsid w:val="004B2708"/>
    <w:rsid w:val="004C369C"/>
    <w:rsid w:val="004D0E17"/>
    <w:rsid w:val="004D5F75"/>
    <w:rsid w:val="004E5266"/>
    <w:rsid w:val="004E792A"/>
    <w:rsid w:val="004F1A27"/>
    <w:rsid w:val="004F2C96"/>
    <w:rsid w:val="004F6010"/>
    <w:rsid w:val="005061FC"/>
    <w:rsid w:val="00511900"/>
    <w:rsid w:val="0051191B"/>
    <w:rsid w:val="00514A06"/>
    <w:rsid w:val="005230EF"/>
    <w:rsid w:val="005244E2"/>
    <w:rsid w:val="005327A9"/>
    <w:rsid w:val="00536870"/>
    <w:rsid w:val="00536925"/>
    <w:rsid w:val="00540A70"/>
    <w:rsid w:val="00540DFB"/>
    <w:rsid w:val="00543617"/>
    <w:rsid w:val="00557768"/>
    <w:rsid w:val="0056452B"/>
    <w:rsid w:val="005645D4"/>
    <w:rsid w:val="005709DB"/>
    <w:rsid w:val="005729CB"/>
    <w:rsid w:val="00582BDA"/>
    <w:rsid w:val="00585425"/>
    <w:rsid w:val="005944B5"/>
    <w:rsid w:val="005B4131"/>
    <w:rsid w:val="005C71F1"/>
    <w:rsid w:val="005E7F3C"/>
    <w:rsid w:val="005F2AED"/>
    <w:rsid w:val="005F734E"/>
    <w:rsid w:val="00602389"/>
    <w:rsid w:val="00605D8A"/>
    <w:rsid w:val="00606EA5"/>
    <w:rsid w:val="00610B1B"/>
    <w:rsid w:val="00614192"/>
    <w:rsid w:val="0062542C"/>
    <w:rsid w:val="0064642B"/>
    <w:rsid w:val="0064710D"/>
    <w:rsid w:val="00650996"/>
    <w:rsid w:val="00653E76"/>
    <w:rsid w:val="0065658E"/>
    <w:rsid w:val="00682AC9"/>
    <w:rsid w:val="0068615A"/>
    <w:rsid w:val="00693A14"/>
    <w:rsid w:val="00693B75"/>
    <w:rsid w:val="006953A7"/>
    <w:rsid w:val="00697751"/>
    <w:rsid w:val="006A473A"/>
    <w:rsid w:val="006A609F"/>
    <w:rsid w:val="006A7BAC"/>
    <w:rsid w:val="006B2355"/>
    <w:rsid w:val="006B3C8E"/>
    <w:rsid w:val="006B59B5"/>
    <w:rsid w:val="006D1FA0"/>
    <w:rsid w:val="006D3021"/>
    <w:rsid w:val="006D6F3B"/>
    <w:rsid w:val="006E22CA"/>
    <w:rsid w:val="006E2734"/>
    <w:rsid w:val="006E39A1"/>
    <w:rsid w:val="006F2528"/>
    <w:rsid w:val="0070331A"/>
    <w:rsid w:val="00723419"/>
    <w:rsid w:val="00726713"/>
    <w:rsid w:val="0073004D"/>
    <w:rsid w:val="0073767E"/>
    <w:rsid w:val="007405C3"/>
    <w:rsid w:val="007439F2"/>
    <w:rsid w:val="00747C8B"/>
    <w:rsid w:val="00750E6B"/>
    <w:rsid w:val="007512B5"/>
    <w:rsid w:val="00752BBF"/>
    <w:rsid w:val="00753A2E"/>
    <w:rsid w:val="00761638"/>
    <w:rsid w:val="00770C6A"/>
    <w:rsid w:val="0077117C"/>
    <w:rsid w:val="007735E8"/>
    <w:rsid w:val="00794B36"/>
    <w:rsid w:val="007B2032"/>
    <w:rsid w:val="007B3F34"/>
    <w:rsid w:val="007C0F64"/>
    <w:rsid w:val="007C6700"/>
    <w:rsid w:val="007D2B26"/>
    <w:rsid w:val="007E1602"/>
    <w:rsid w:val="007E6E35"/>
    <w:rsid w:val="00811928"/>
    <w:rsid w:val="008226C2"/>
    <w:rsid w:val="008237E2"/>
    <w:rsid w:val="008401F1"/>
    <w:rsid w:val="00854CA8"/>
    <w:rsid w:val="00857582"/>
    <w:rsid w:val="00861761"/>
    <w:rsid w:val="008626D1"/>
    <w:rsid w:val="0087027D"/>
    <w:rsid w:val="008768EE"/>
    <w:rsid w:val="00882366"/>
    <w:rsid w:val="0089095B"/>
    <w:rsid w:val="00891148"/>
    <w:rsid w:val="008A29BC"/>
    <w:rsid w:val="008B1E82"/>
    <w:rsid w:val="008B55EF"/>
    <w:rsid w:val="008C4956"/>
    <w:rsid w:val="008D0822"/>
    <w:rsid w:val="008D3D93"/>
    <w:rsid w:val="008D61FA"/>
    <w:rsid w:val="008F040A"/>
    <w:rsid w:val="00902132"/>
    <w:rsid w:val="00914188"/>
    <w:rsid w:val="009161A9"/>
    <w:rsid w:val="00920276"/>
    <w:rsid w:val="00922BFB"/>
    <w:rsid w:val="009611E6"/>
    <w:rsid w:val="00961547"/>
    <w:rsid w:val="0096616B"/>
    <w:rsid w:val="009700B1"/>
    <w:rsid w:val="00970AEE"/>
    <w:rsid w:val="009933C4"/>
    <w:rsid w:val="009A127A"/>
    <w:rsid w:val="009B3600"/>
    <w:rsid w:val="009B489E"/>
    <w:rsid w:val="009F020A"/>
    <w:rsid w:val="009F1438"/>
    <w:rsid w:val="009F459E"/>
    <w:rsid w:val="009F4968"/>
    <w:rsid w:val="00A07D15"/>
    <w:rsid w:val="00A24320"/>
    <w:rsid w:val="00A25A4E"/>
    <w:rsid w:val="00A27951"/>
    <w:rsid w:val="00A313E1"/>
    <w:rsid w:val="00A32A87"/>
    <w:rsid w:val="00A33342"/>
    <w:rsid w:val="00A404C6"/>
    <w:rsid w:val="00A5166E"/>
    <w:rsid w:val="00A529A1"/>
    <w:rsid w:val="00A60C19"/>
    <w:rsid w:val="00A6497A"/>
    <w:rsid w:val="00A64C3E"/>
    <w:rsid w:val="00A65762"/>
    <w:rsid w:val="00A81EA7"/>
    <w:rsid w:val="00A8440D"/>
    <w:rsid w:val="00A9318F"/>
    <w:rsid w:val="00A94280"/>
    <w:rsid w:val="00AA0CBE"/>
    <w:rsid w:val="00AA21E5"/>
    <w:rsid w:val="00AB4A63"/>
    <w:rsid w:val="00AC1AC9"/>
    <w:rsid w:val="00AC3579"/>
    <w:rsid w:val="00AC4FF1"/>
    <w:rsid w:val="00AD43DB"/>
    <w:rsid w:val="00AD5725"/>
    <w:rsid w:val="00AD584B"/>
    <w:rsid w:val="00B03DFB"/>
    <w:rsid w:val="00B05726"/>
    <w:rsid w:val="00B11A90"/>
    <w:rsid w:val="00B14F3E"/>
    <w:rsid w:val="00B16C17"/>
    <w:rsid w:val="00B17459"/>
    <w:rsid w:val="00B274BF"/>
    <w:rsid w:val="00B27970"/>
    <w:rsid w:val="00B37340"/>
    <w:rsid w:val="00B465AA"/>
    <w:rsid w:val="00B466CC"/>
    <w:rsid w:val="00B54955"/>
    <w:rsid w:val="00B5615C"/>
    <w:rsid w:val="00B636E1"/>
    <w:rsid w:val="00B756F2"/>
    <w:rsid w:val="00B825E7"/>
    <w:rsid w:val="00B83106"/>
    <w:rsid w:val="00B9565A"/>
    <w:rsid w:val="00BB2D45"/>
    <w:rsid w:val="00BB4A14"/>
    <w:rsid w:val="00BE444B"/>
    <w:rsid w:val="00BE7A66"/>
    <w:rsid w:val="00BF238D"/>
    <w:rsid w:val="00BF3024"/>
    <w:rsid w:val="00BF4308"/>
    <w:rsid w:val="00BF58A9"/>
    <w:rsid w:val="00C002E3"/>
    <w:rsid w:val="00C11686"/>
    <w:rsid w:val="00C2078A"/>
    <w:rsid w:val="00C31C63"/>
    <w:rsid w:val="00C34E66"/>
    <w:rsid w:val="00C3614D"/>
    <w:rsid w:val="00C41360"/>
    <w:rsid w:val="00C606DF"/>
    <w:rsid w:val="00C60EA5"/>
    <w:rsid w:val="00C66627"/>
    <w:rsid w:val="00C6669D"/>
    <w:rsid w:val="00C72DFF"/>
    <w:rsid w:val="00C86B06"/>
    <w:rsid w:val="00C928EE"/>
    <w:rsid w:val="00C94844"/>
    <w:rsid w:val="00C96B53"/>
    <w:rsid w:val="00CA002B"/>
    <w:rsid w:val="00CB157A"/>
    <w:rsid w:val="00CB67CC"/>
    <w:rsid w:val="00CC4F28"/>
    <w:rsid w:val="00CC5A49"/>
    <w:rsid w:val="00CC6BE6"/>
    <w:rsid w:val="00CD09D9"/>
    <w:rsid w:val="00CE121B"/>
    <w:rsid w:val="00CF60A7"/>
    <w:rsid w:val="00CF6811"/>
    <w:rsid w:val="00CF740A"/>
    <w:rsid w:val="00D006B7"/>
    <w:rsid w:val="00D045E6"/>
    <w:rsid w:val="00D14BC9"/>
    <w:rsid w:val="00D24BED"/>
    <w:rsid w:val="00D36811"/>
    <w:rsid w:val="00D43B89"/>
    <w:rsid w:val="00D45263"/>
    <w:rsid w:val="00D5057A"/>
    <w:rsid w:val="00D52242"/>
    <w:rsid w:val="00D655A5"/>
    <w:rsid w:val="00D67D58"/>
    <w:rsid w:val="00D83C92"/>
    <w:rsid w:val="00D85348"/>
    <w:rsid w:val="00D90451"/>
    <w:rsid w:val="00D963C7"/>
    <w:rsid w:val="00DB0803"/>
    <w:rsid w:val="00DD166E"/>
    <w:rsid w:val="00DD7F67"/>
    <w:rsid w:val="00DE1FFC"/>
    <w:rsid w:val="00DF6474"/>
    <w:rsid w:val="00DF6F62"/>
    <w:rsid w:val="00E015CC"/>
    <w:rsid w:val="00E15C70"/>
    <w:rsid w:val="00E317A3"/>
    <w:rsid w:val="00E33909"/>
    <w:rsid w:val="00E364B8"/>
    <w:rsid w:val="00E42632"/>
    <w:rsid w:val="00E64F5C"/>
    <w:rsid w:val="00E70E46"/>
    <w:rsid w:val="00E8352C"/>
    <w:rsid w:val="00E8473B"/>
    <w:rsid w:val="00E91A89"/>
    <w:rsid w:val="00EA6625"/>
    <w:rsid w:val="00EB295B"/>
    <w:rsid w:val="00EB4817"/>
    <w:rsid w:val="00EC4190"/>
    <w:rsid w:val="00EC5BC1"/>
    <w:rsid w:val="00EC6370"/>
    <w:rsid w:val="00ED38F5"/>
    <w:rsid w:val="00ED3970"/>
    <w:rsid w:val="00EE0F17"/>
    <w:rsid w:val="00EE38B2"/>
    <w:rsid w:val="00EF18FE"/>
    <w:rsid w:val="00F02F54"/>
    <w:rsid w:val="00F07DEC"/>
    <w:rsid w:val="00F12119"/>
    <w:rsid w:val="00F138CC"/>
    <w:rsid w:val="00F20837"/>
    <w:rsid w:val="00F212A2"/>
    <w:rsid w:val="00F22A8D"/>
    <w:rsid w:val="00F23C96"/>
    <w:rsid w:val="00F25D19"/>
    <w:rsid w:val="00F33794"/>
    <w:rsid w:val="00F44D46"/>
    <w:rsid w:val="00F61C38"/>
    <w:rsid w:val="00F65847"/>
    <w:rsid w:val="00F70966"/>
    <w:rsid w:val="00F77889"/>
    <w:rsid w:val="00F80D48"/>
    <w:rsid w:val="00F870E3"/>
    <w:rsid w:val="00F93970"/>
    <w:rsid w:val="00F963E8"/>
    <w:rsid w:val="00FB30FD"/>
    <w:rsid w:val="00FB4C88"/>
    <w:rsid w:val="00FB79A9"/>
    <w:rsid w:val="00FC7B65"/>
    <w:rsid w:val="00FD13DB"/>
    <w:rsid w:val="00FD4A6A"/>
    <w:rsid w:val="00FD613A"/>
    <w:rsid w:val="00FE0FEE"/>
    <w:rsid w:val="00FE317B"/>
    <w:rsid w:val="00FE3281"/>
    <w:rsid w:val="00FF0A30"/>
    <w:rsid w:val="00FF118B"/>
    <w:rsid w:val="01325FE6"/>
    <w:rsid w:val="01EB45BC"/>
    <w:rsid w:val="032D36D2"/>
    <w:rsid w:val="0341249E"/>
    <w:rsid w:val="035E700F"/>
    <w:rsid w:val="03786932"/>
    <w:rsid w:val="04223B99"/>
    <w:rsid w:val="05E179D4"/>
    <w:rsid w:val="085F562F"/>
    <w:rsid w:val="087B41C0"/>
    <w:rsid w:val="09B63701"/>
    <w:rsid w:val="0A33321D"/>
    <w:rsid w:val="0A4E4917"/>
    <w:rsid w:val="0A6C2012"/>
    <w:rsid w:val="0A764C3F"/>
    <w:rsid w:val="0AB539B9"/>
    <w:rsid w:val="0ACC485F"/>
    <w:rsid w:val="0AFF4C34"/>
    <w:rsid w:val="0C252478"/>
    <w:rsid w:val="0C287B1C"/>
    <w:rsid w:val="0C4D7C21"/>
    <w:rsid w:val="0C4E2A45"/>
    <w:rsid w:val="0DAE46EF"/>
    <w:rsid w:val="0E0D58BA"/>
    <w:rsid w:val="0EC046DA"/>
    <w:rsid w:val="0ED05EDB"/>
    <w:rsid w:val="0EF05F9B"/>
    <w:rsid w:val="0F24110D"/>
    <w:rsid w:val="0F7A0D2D"/>
    <w:rsid w:val="0FA20284"/>
    <w:rsid w:val="0FA85E1A"/>
    <w:rsid w:val="0FC85F3C"/>
    <w:rsid w:val="101D790A"/>
    <w:rsid w:val="106B5EA9"/>
    <w:rsid w:val="10BE10ED"/>
    <w:rsid w:val="10E14260"/>
    <w:rsid w:val="10EE7E72"/>
    <w:rsid w:val="1106122C"/>
    <w:rsid w:val="111667FB"/>
    <w:rsid w:val="11467892"/>
    <w:rsid w:val="12731661"/>
    <w:rsid w:val="132B0EAD"/>
    <w:rsid w:val="132F0080"/>
    <w:rsid w:val="15267261"/>
    <w:rsid w:val="153A76CE"/>
    <w:rsid w:val="153C0833"/>
    <w:rsid w:val="16331C36"/>
    <w:rsid w:val="163360DA"/>
    <w:rsid w:val="168E4C53"/>
    <w:rsid w:val="16E86EC4"/>
    <w:rsid w:val="1719707D"/>
    <w:rsid w:val="173B6FF4"/>
    <w:rsid w:val="178D1819"/>
    <w:rsid w:val="17B374D2"/>
    <w:rsid w:val="18567E5D"/>
    <w:rsid w:val="196610B4"/>
    <w:rsid w:val="198506C2"/>
    <w:rsid w:val="19B26293"/>
    <w:rsid w:val="19C86B39"/>
    <w:rsid w:val="1B154B1A"/>
    <w:rsid w:val="1B59213E"/>
    <w:rsid w:val="1BF765E5"/>
    <w:rsid w:val="1C5A6608"/>
    <w:rsid w:val="1C9F77FE"/>
    <w:rsid w:val="1CD557F5"/>
    <w:rsid w:val="1DD24F08"/>
    <w:rsid w:val="1E2622CA"/>
    <w:rsid w:val="1E432C32"/>
    <w:rsid w:val="1E43624F"/>
    <w:rsid w:val="1E861DC1"/>
    <w:rsid w:val="1EE373C7"/>
    <w:rsid w:val="1F49071C"/>
    <w:rsid w:val="1F505606"/>
    <w:rsid w:val="2020147D"/>
    <w:rsid w:val="204131A1"/>
    <w:rsid w:val="2063580D"/>
    <w:rsid w:val="212349E5"/>
    <w:rsid w:val="21824088"/>
    <w:rsid w:val="21B300CF"/>
    <w:rsid w:val="22097CEF"/>
    <w:rsid w:val="221C5C74"/>
    <w:rsid w:val="22425151"/>
    <w:rsid w:val="22BE6D2B"/>
    <w:rsid w:val="22D12F02"/>
    <w:rsid w:val="22E9024C"/>
    <w:rsid w:val="236D2C2B"/>
    <w:rsid w:val="23C2284B"/>
    <w:rsid w:val="24437092"/>
    <w:rsid w:val="245F2EA7"/>
    <w:rsid w:val="24A86575"/>
    <w:rsid w:val="24BA6540"/>
    <w:rsid w:val="257F27A2"/>
    <w:rsid w:val="262F241A"/>
    <w:rsid w:val="264F2CF6"/>
    <w:rsid w:val="265579A6"/>
    <w:rsid w:val="26EF39E6"/>
    <w:rsid w:val="27EC60E8"/>
    <w:rsid w:val="288A1B89"/>
    <w:rsid w:val="28AD5878"/>
    <w:rsid w:val="28BE753C"/>
    <w:rsid w:val="29383786"/>
    <w:rsid w:val="295108F9"/>
    <w:rsid w:val="296A015C"/>
    <w:rsid w:val="29C015DB"/>
    <w:rsid w:val="2A3049B2"/>
    <w:rsid w:val="2B2048B5"/>
    <w:rsid w:val="2C9F3729"/>
    <w:rsid w:val="2CA13945"/>
    <w:rsid w:val="2DBC5C25"/>
    <w:rsid w:val="2DD25B1C"/>
    <w:rsid w:val="2DEC6E42"/>
    <w:rsid w:val="2E9574DA"/>
    <w:rsid w:val="2ECC7D1F"/>
    <w:rsid w:val="2ECD6A7C"/>
    <w:rsid w:val="2EE713B8"/>
    <w:rsid w:val="2F8A06C1"/>
    <w:rsid w:val="300F797F"/>
    <w:rsid w:val="31616E39"/>
    <w:rsid w:val="31A17F44"/>
    <w:rsid w:val="31AF2660"/>
    <w:rsid w:val="3259591E"/>
    <w:rsid w:val="331D1C91"/>
    <w:rsid w:val="33246BAC"/>
    <w:rsid w:val="33C63C91"/>
    <w:rsid w:val="348E2A01"/>
    <w:rsid w:val="348F22D5"/>
    <w:rsid w:val="34C208FD"/>
    <w:rsid w:val="34FE7165"/>
    <w:rsid w:val="35142B6E"/>
    <w:rsid w:val="353115DE"/>
    <w:rsid w:val="355368DF"/>
    <w:rsid w:val="35CB558F"/>
    <w:rsid w:val="35EB3E83"/>
    <w:rsid w:val="36305C95"/>
    <w:rsid w:val="36794FEB"/>
    <w:rsid w:val="36AD2EE7"/>
    <w:rsid w:val="372D6C94"/>
    <w:rsid w:val="3736112E"/>
    <w:rsid w:val="375F68D7"/>
    <w:rsid w:val="384078F3"/>
    <w:rsid w:val="3A922B1F"/>
    <w:rsid w:val="3B550B35"/>
    <w:rsid w:val="3B653D90"/>
    <w:rsid w:val="3BBF4FDC"/>
    <w:rsid w:val="3BBF6E0F"/>
    <w:rsid w:val="3CFC4CF6"/>
    <w:rsid w:val="3E0A5BCC"/>
    <w:rsid w:val="3E377C66"/>
    <w:rsid w:val="3E4203B8"/>
    <w:rsid w:val="3E554D1C"/>
    <w:rsid w:val="3EAD1CD6"/>
    <w:rsid w:val="3ED43706"/>
    <w:rsid w:val="3ED8486F"/>
    <w:rsid w:val="3F3E3BD2"/>
    <w:rsid w:val="3FE756BB"/>
    <w:rsid w:val="400B75FC"/>
    <w:rsid w:val="40A71C23"/>
    <w:rsid w:val="40AD2461"/>
    <w:rsid w:val="41412BA9"/>
    <w:rsid w:val="42C65E05"/>
    <w:rsid w:val="43A96DC2"/>
    <w:rsid w:val="43DE0B01"/>
    <w:rsid w:val="443D58AA"/>
    <w:rsid w:val="44576017"/>
    <w:rsid w:val="44CA4ED1"/>
    <w:rsid w:val="45350C77"/>
    <w:rsid w:val="459B31D0"/>
    <w:rsid w:val="45B1654F"/>
    <w:rsid w:val="45E1398B"/>
    <w:rsid w:val="465374C4"/>
    <w:rsid w:val="477737C9"/>
    <w:rsid w:val="47AD6565"/>
    <w:rsid w:val="486A50DB"/>
    <w:rsid w:val="487D6BBD"/>
    <w:rsid w:val="48904B42"/>
    <w:rsid w:val="48D83DF3"/>
    <w:rsid w:val="49AB59AC"/>
    <w:rsid w:val="49BF6D61"/>
    <w:rsid w:val="49C736FA"/>
    <w:rsid w:val="4A176023"/>
    <w:rsid w:val="4AC62A9D"/>
    <w:rsid w:val="4ACF7E2D"/>
    <w:rsid w:val="4B38501D"/>
    <w:rsid w:val="4B82587E"/>
    <w:rsid w:val="4C564DA0"/>
    <w:rsid w:val="4CC642AB"/>
    <w:rsid w:val="4CD46FC7"/>
    <w:rsid w:val="4CFE5DF2"/>
    <w:rsid w:val="4F0C47F7"/>
    <w:rsid w:val="4FCF4A15"/>
    <w:rsid w:val="506B19F1"/>
    <w:rsid w:val="50F1639A"/>
    <w:rsid w:val="51876EDB"/>
    <w:rsid w:val="51F010F6"/>
    <w:rsid w:val="52100AA2"/>
    <w:rsid w:val="52792B86"/>
    <w:rsid w:val="52E9573C"/>
    <w:rsid w:val="53AC47FA"/>
    <w:rsid w:val="54273E81"/>
    <w:rsid w:val="54817A35"/>
    <w:rsid w:val="54C358D9"/>
    <w:rsid w:val="559D6882"/>
    <w:rsid w:val="560C7730"/>
    <w:rsid w:val="56D24578"/>
    <w:rsid w:val="56D36371"/>
    <w:rsid w:val="56FF2D86"/>
    <w:rsid w:val="575E405D"/>
    <w:rsid w:val="57831D16"/>
    <w:rsid w:val="5915699E"/>
    <w:rsid w:val="595A0569"/>
    <w:rsid w:val="59DB365A"/>
    <w:rsid w:val="5A772D6A"/>
    <w:rsid w:val="5A9372F8"/>
    <w:rsid w:val="5AAD3872"/>
    <w:rsid w:val="5AB83A84"/>
    <w:rsid w:val="5AF54CD9"/>
    <w:rsid w:val="5B264E92"/>
    <w:rsid w:val="5B3337DE"/>
    <w:rsid w:val="5C120994"/>
    <w:rsid w:val="5D625B2C"/>
    <w:rsid w:val="5D8130C8"/>
    <w:rsid w:val="5D9E3405"/>
    <w:rsid w:val="5E8425FB"/>
    <w:rsid w:val="5EA3672A"/>
    <w:rsid w:val="5EAB0E03"/>
    <w:rsid w:val="5EB95556"/>
    <w:rsid w:val="5F5521EA"/>
    <w:rsid w:val="5F795ED8"/>
    <w:rsid w:val="604311BA"/>
    <w:rsid w:val="60822B6A"/>
    <w:rsid w:val="60BB607C"/>
    <w:rsid w:val="60BB7437"/>
    <w:rsid w:val="60CC2038"/>
    <w:rsid w:val="61052161"/>
    <w:rsid w:val="61852448"/>
    <w:rsid w:val="61B52C9E"/>
    <w:rsid w:val="61C84EF5"/>
    <w:rsid w:val="63424833"/>
    <w:rsid w:val="63FC20AA"/>
    <w:rsid w:val="648F1CFA"/>
    <w:rsid w:val="64F34037"/>
    <w:rsid w:val="64F47DAF"/>
    <w:rsid w:val="655A2308"/>
    <w:rsid w:val="66560D21"/>
    <w:rsid w:val="667F21BC"/>
    <w:rsid w:val="66C13CC1"/>
    <w:rsid w:val="671C7C3B"/>
    <w:rsid w:val="672B64E3"/>
    <w:rsid w:val="67472418"/>
    <w:rsid w:val="67796770"/>
    <w:rsid w:val="681E586F"/>
    <w:rsid w:val="687003C5"/>
    <w:rsid w:val="6918598B"/>
    <w:rsid w:val="69F50851"/>
    <w:rsid w:val="6A255F00"/>
    <w:rsid w:val="6A8D2838"/>
    <w:rsid w:val="6BB207D0"/>
    <w:rsid w:val="6CD02889"/>
    <w:rsid w:val="6D3956D2"/>
    <w:rsid w:val="6D81127C"/>
    <w:rsid w:val="6D9B526C"/>
    <w:rsid w:val="6DB93944"/>
    <w:rsid w:val="6E136484"/>
    <w:rsid w:val="6E866361"/>
    <w:rsid w:val="6E8C2E06"/>
    <w:rsid w:val="6FC22F83"/>
    <w:rsid w:val="70584104"/>
    <w:rsid w:val="708F6BDE"/>
    <w:rsid w:val="717961C9"/>
    <w:rsid w:val="71FB39D5"/>
    <w:rsid w:val="724C4D86"/>
    <w:rsid w:val="7270316B"/>
    <w:rsid w:val="72BE3ED7"/>
    <w:rsid w:val="72F84F0E"/>
    <w:rsid w:val="738B7B30"/>
    <w:rsid w:val="73E10D34"/>
    <w:rsid w:val="73F06D3E"/>
    <w:rsid w:val="743C0E2B"/>
    <w:rsid w:val="74454183"/>
    <w:rsid w:val="74591FEB"/>
    <w:rsid w:val="74784559"/>
    <w:rsid w:val="74B84955"/>
    <w:rsid w:val="74EF6662"/>
    <w:rsid w:val="75C973BF"/>
    <w:rsid w:val="76AD3EBA"/>
    <w:rsid w:val="77BA6C36"/>
    <w:rsid w:val="78273822"/>
    <w:rsid w:val="78CC4E73"/>
    <w:rsid w:val="78D91E12"/>
    <w:rsid w:val="79565C28"/>
    <w:rsid w:val="79695CC0"/>
    <w:rsid w:val="79F3642F"/>
    <w:rsid w:val="7A8B43CB"/>
    <w:rsid w:val="7B2E361A"/>
    <w:rsid w:val="7B30793B"/>
    <w:rsid w:val="7B3A2568"/>
    <w:rsid w:val="7BB02127"/>
    <w:rsid w:val="7BDA4B13"/>
    <w:rsid w:val="7C611D76"/>
    <w:rsid w:val="7CE87DA1"/>
    <w:rsid w:val="7CFB572B"/>
    <w:rsid w:val="7D2747F6"/>
    <w:rsid w:val="7D2E0DBD"/>
    <w:rsid w:val="7DE40569"/>
    <w:rsid w:val="7E5020A2"/>
    <w:rsid w:val="7ED467BB"/>
    <w:rsid w:val="7EE10F4C"/>
    <w:rsid w:val="7F3E5142"/>
    <w:rsid w:val="7F4079CE"/>
    <w:rsid w:val="7FF50D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outlineLvl w:val="0"/>
    </w:pPr>
    <w:rPr>
      <w:rFonts w:ascii="Times New Roman" w:hAnsi="Times New Roman" w:eastAsia="黑体" w:cs="Times New Roman"/>
      <w:bCs/>
      <w:kern w:val="44"/>
      <w:sz w:val="30"/>
      <w:szCs w:val="44"/>
      <w:lang w:val="en-US" w:eastAsia="zh-CN" w:bidi="ar-SA"/>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link w:val="29"/>
    <w:qFormat/>
    <w:uiPriority w:val="0"/>
    <w:pPr>
      <w:jc w:val="left"/>
    </w:pPr>
  </w:style>
  <w:style w:type="paragraph" w:styleId="5">
    <w:name w:val="Balloon Text"/>
    <w:basedOn w:val="1"/>
    <w:link w:val="28"/>
    <w:qFormat/>
    <w:uiPriority w:val="0"/>
    <w:rPr>
      <w:sz w:val="18"/>
      <w:szCs w:val="18"/>
    </w:rPr>
  </w:style>
  <w:style w:type="paragraph" w:styleId="6">
    <w:name w:val="footer"/>
    <w:basedOn w:val="1"/>
    <w:link w:val="25"/>
    <w:qFormat/>
    <w:uiPriority w:val="0"/>
    <w:pPr>
      <w:tabs>
        <w:tab w:val="center" w:pos="4153"/>
        <w:tab w:val="right" w:pos="8306"/>
      </w:tabs>
      <w:snapToGrid w:val="0"/>
      <w:jc w:val="left"/>
    </w:pPr>
    <w:rPr>
      <w:sz w:val="18"/>
      <w:szCs w:val="18"/>
    </w:rPr>
  </w:style>
  <w:style w:type="paragraph" w:styleId="7">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99"/>
    <w:pPr>
      <w:jc w:val="left"/>
    </w:pPr>
    <w:rPr>
      <w:rFonts w:cs="Times New Roman"/>
      <w:kern w:val="0"/>
      <w:sz w:val="24"/>
    </w:rPr>
  </w:style>
  <w:style w:type="paragraph" w:styleId="11">
    <w:name w:val="annotation subject"/>
    <w:basedOn w:val="4"/>
    <w:next w:val="4"/>
    <w:link w:val="30"/>
    <w:qFormat/>
    <w:uiPriority w:val="0"/>
    <w:rPr>
      <w:b/>
      <w:bCs/>
    </w:rPr>
  </w:style>
  <w:style w:type="table" w:styleId="13">
    <w:name w:val="Table Grid"/>
    <w:basedOn w:val="1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styleId="15">
    <w:name w:val="Strong"/>
    <w:basedOn w:val="14"/>
    <w:qFormat/>
    <w:uiPriority w:val="22"/>
    <w:rPr>
      <w:b/>
      <w:color w:val="083A3B"/>
    </w:rPr>
  </w:style>
  <w:style w:type="character" w:styleId="16">
    <w:name w:val="FollowedHyperlink"/>
    <w:basedOn w:val="14"/>
    <w:qFormat/>
    <w:uiPriority w:val="0"/>
    <w:rPr>
      <w:color w:val="000000"/>
      <w:u w:val="none"/>
    </w:rPr>
  </w:style>
  <w:style w:type="character" w:styleId="17">
    <w:name w:val="Emphasis"/>
    <w:basedOn w:val="14"/>
    <w:qFormat/>
    <w:uiPriority w:val="0"/>
  </w:style>
  <w:style w:type="character" w:styleId="18">
    <w:name w:val="HTML Definition"/>
    <w:basedOn w:val="14"/>
    <w:qFormat/>
    <w:uiPriority w:val="0"/>
  </w:style>
  <w:style w:type="character" w:styleId="19">
    <w:name w:val="HTML Variable"/>
    <w:basedOn w:val="14"/>
    <w:qFormat/>
    <w:uiPriority w:val="0"/>
    <w:rPr>
      <w:color w:val="BA2636"/>
      <w:u w:val="single"/>
    </w:rPr>
  </w:style>
  <w:style w:type="character" w:styleId="20">
    <w:name w:val="Hyperlink"/>
    <w:basedOn w:val="14"/>
    <w:qFormat/>
    <w:uiPriority w:val="0"/>
    <w:rPr>
      <w:color w:val="000000"/>
      <w:u w:val="none"/>
    </w:rPr>
  </w:style>
  <w:style w:type="character" w:styleId="21">
    <w:name w:val="HTML Code"/>
    <w:basedOn w:val="14"/>
    <w:qFormat/>
    <w:uiPriority w:val="0"/>
    <w:rPr>
      <w:rFonts w:ascii="Courier New" w:hAnsi="Courier New"/>
      <w:color w:val="BA2636"/>
      <w:sz w:val="20"/>
      <w:u w:val="single"/>
    </w:rPr>
  </w:style>
  <w:style w:type="character" w:styleId="22">
    <w:name w:val="annotation reference"/>
    <w:basedOn w:val="14"/>
    <w:qFormat/>
    <w:uiPriority w:val="0"/>
    <w:rPr>
      <w:sz w:val="21"/>
      <w:szCs w:val="21"/>
    </w:rPr>
  </w:style>
  <w:style w:type="character" w:styleId="23">
    <w:name w:val="HTML Cite"/>
    <w:basedOn w:val="14"/>
    <w:qFormat/>
    <w:uiPriority w:val="0"/>
  </w:style>
  <w:style w:type="character" w:customStyle="1" w:styleId="24">
    <w:name w:val="页眉 字符"/>
    <w:basedOn w:val="14"/>
    <w:link w:val="7"/>
    <w:qFormat/>
    <w:uiPriority w:val="0"/>
    <w:rPr>
      <w:kern w:val="2"/>
      <w:sz w:val="18"/>
      <w:szCs w:val="18"/>
    </w:rPr>
  </w:style>
  <w:style w:type="character" w:customStyle="1" w:styleId="25">
    <w:name w:val="页脚 字符"/>
    <w:basedOn w:val="14"/>
    <w:link w:val="6"/>
    <w:qFormat/>
    <w:uiPriority w:val="0"/>
    <w:rPr>
      <w:kern w:val="2"/>
      <w:sz w:val="18"/>
      <w:szCs w:val="18"/>
    </w:rPr>
  </w:style>
  <w:style w:type="paragraph" w:styleId="26">
    <w:name w:val="List Paragraph"/>
    <w:basedOn w:val="1"/>
    <w:unhideWhenUsed/>
    <w:qFormat/>
    <w:uiPriority w:val="34"/>
    <w:pPr>
      <w:ind w:firstLine="420" w:firstLineChars="200"/>
    </w:pPr>
  </w:style>
  <w:style w:type="character" w:customStyle="1" w:styleId="27">
    <w:name w:val="curr"/>
    <w:basedOn w:val="14"/>
    <w:qFormat/>
    <w:uiPriority w:val="0"/>
    <w:rPr>
      <w:color w:val="FFFFFF"/>
      <w:bdr w:val="single" w:color="B6B6B6" w:sz="6" w:space="0"/>
      <w:shd w:val="clear" w:color="auto" w:fill="CF3729"/>
    </w:rPr>
  </w:style>
  <w:style w:type="character" w:customStyle="1" w:styleId="28">
    <w:name w:val="批注框文本 字符"/>
    <w:basedOn w:val="14"/>
    <w:link w:val="5"/>
    <w:qFormat/>
    <w:uiPriority w:val="0"/>
    <w:rPr>
      <w:rFonts w:asciiTheme="minorHAnsi" w:hAnsiTheme="minorHAnsi" w:eastAsiaTheme="minorEastAsia" w:cstheme="minorBidi"/>
      <w:kern w:val="2"/>
      <w:sz w:val="18"/>
      <w:szCs w:val="18"/>
    </w:rPr>
  </w:style>
  <w:style w:type="character" w:customStyle="1" w:styleId="29">
    <w:name w:val="批注文字 字符"/>
    <w:basedOn w:val="14"/>
    <w:link w:val="4"/>
    <w:qFormat/>
    <w:uiPriority w:val="0"/>
    <w:rPr>
      <w:rFonts w:asciiTheme="minorHAnsi" w:hAnsiTheme="minorHAnsi" w:eastAsiaTheme="minorEastAsia" w:cstheme="minorBidi"/>
      <w:kern w:val="2"/>
      <w:sz w:val="21"/>
      <w:szCs w:val="24"/>
    </w:rPr>
  </w:style>
  <w:style w:type="character" w:customStyle="1" w:styleId="30">
    <w:name w:val="批注主题 字符"/>
    <w:basedOn w:val="29"/>
    <w:link w:val="11"/>
    <w:qFormat/>
    <w:uiPriority w:val="0"/>
    <w:rPr>
      <w:rFonts w:asciiTheme="minorHAnsi" w:hAnsiTheme="minorHAnsi" w:eastAsiaTheme="minorEastAsia" w:cstheme="minorBidi"/>
      <w:b/>
      <w:bCs/>
      <w:kern w:val="2"/>
      <w:sz w:val="21"/>
      <w:szCs w:val="24"/>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223256-BC9F-4FBD-894E-09A65014215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8614</Words>
  <Characters>9075</Characters>
  <Lines>55</Lines>
  <Paragraphs>15</Paragraphs>
  <TotalTime>4</TotalTime>
  <ScaleCrop>false</ScaleCrop>
  <LinksUpToDate>false</LinksUpToDate>
  <CharactersWithSpaces>9158</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2022-10-27T13:58:00Z</dcterms:created>
  <dc:creator>吴月桥</dc:creator>
  <cp:lastModifiedBy>熊苑芳</cp:lastModifiedBy>
  <cp:lastPrinted>2022-11-18T01:19:00Z</cp:lastPrinted>
  <dcterms:modified xsi:type="dcterms:W3CDTF">2022-11-23T03:38:23Z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5BFD8D04FF9343BD94A26758C122B183</vt:lpwstr>
  </property>
</Properties>
</file>