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540" w:lineRule="exact"/>
        <w:ind w:right="0"/>
        <w:jc w:val="center"/>
        <w:textAlignment w:val="auto"/>
        <w:rPr>
          <w:rFonts w:ascii="仿宋_GB2312" w:hAnsi="楷体" w:eastAsia="仿宋_GB2312" w:cs="楷体"/>
          <w:sz w:val="32"/>
          <w:szCs w:val="32"/>
        </w:rPr>
      </w:pPr>
      <w:r>
        <w:rPr>
          <w:rFonts w:hint="eastAsia" w:ascii="宋体" w:hAnsi="宋体" w:eastAsia="宋体" w:cs="宋体"/>
          <w:sz w:val="44"/>
          <w:szCs w:val="44"/>
          <w:lang w:eastAsia="zh-CN"/>
        </w:rPr>
        <w:t>区</w:t>
      </w:r>
      <w:r>
        <w:rPr>
          <w:rFonts w:hint="eastAsia" w:ascii="宋体" w:hAnsi="宋体" w:cs="宋体"/>
          <w:sz w:val="44"/>
          <w:szCs w:val="44"/>
        </w:rPr>
        <w:t>妇联2017年工作总结</w:t>
      </w:r>
    </w:p>
    <w:p>
      <w:pPr>
        <w:adjustRightInd/>
        <w:snapToGrid/>
        <w:spacing w:line="540" w:lineRule="exact"/>
        <w:ind w:right="0"/>
        <w:jc w:val="center"/>
        <w:textAlignment w:val="auto"/>
        <w:rPr>
          <w:rFonts w:ascii="仿宋" w:hAnsi="仿宋" w:eastAsia="仿宋" w:cs="仿宋"/>
          <w:sz w:val="32"/>
          <w:szCs w:val="32"/>
        </w:rPr>
      </w:pPr>
      <w:r>
        <w:rPr>
          <w:rFonts w:hint="eastAsia" w:ascii="仿宋" w:hAnsi="仿宋" w:eastAsia="仿宋" w:cs="仿宋"/>
          <w:sz w:val="32"/>
          <w:szCs w:val="32"/>
        </w:rPr>
        <w:t>----改革创新 “她”创行动</w:t>
      </w:r>
    </w:p>
    <w:p>
      <w:pPr>
        <w:adjustRightInd/>
        <w:snapToGrid/>
        <w:spacing w:line="540" w:lineRule="exact"/>
        <w:ind w:right="0"/>
        <w:jc w:val="left"/>
        <w:textAlignment w:val="auto"/>
        <w:rPr>
          <w:rFonts w:ascii="仿宋_GB2312" w:eastAsia="仿宋_GB2312" w:cs="宋体"/>
          <w:sz w:val="32"/>
          <w:szCs w:val="32"/>
        </w:rPr>
      </w:pPr>
      <w:r>
        <w:rPr>
          <w:rFonts w:hint="eastAsia" w:ascii="仿宋_GB2312" w:hAnsi="宋体" w:eastAsia="仿宋_GB2312" w:cs="宋体"/>
          <w:sz w:val="32"/>
          <w:szCs w:val="32"/>
        </w:rPr>
        <w:t>　　</w:t>
      </w:r>
    </w:p>
    <w:p>
      <w:pPr>
        <w:wordWrap/>
        <w:adjustRightInd/>
        <w:snapToGrid/>
        <w:spacing w:line="540" w:lineRule="exact"/>
        <w:ind w:right="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ascii="仿宋_GB2312" w:hAnsi="仿宋" w:eastAsia="仿宋_GB2312" w:cs="仿宋"/>
          <w:sz w:val="32"/>
          <w:szCs w:val="32"/>
        </w:rPr>
        <w:t xml:space="preserve"> 2017</w:t>
      </w:r>
      <w:r>
        <w:rPr>
          <w:rFonts w:hint="eastAsia" w:ascii="仿宋_GB2312" w:hAnsi="仿宋" w:eastAsia="仿宋_GB2312" w:cs="仿宋"/>
          <w:sz w:val="32"/>
          <w:szCs w:val="32"/>
        </w:rPr>
        <w:t>年是市、区妇联改革创新年，区妇联在区委区政府正确领导下，以“她”为主线，从凝聚“她”力量、动员“她”参与、服务“她”需求、发挥“她”作用、彰显“她”魅力五方面创新开展妇儿工作。</w:t>
      </w:r>
    </w:p>
    <w:p>
      <w:pPr>
        <w:wordWrap/>
        <w:adjustRightInd/>
        <w:snapToGrid/>
        <w:spacing w:line="540" w:lineRule="exact"/>
        <w:ind w:left="0" w:leftChars="0" w:right="0" w:firstLine="640" w:firstLineChars="200"/>
        <w:jc w:val="both"/>
        <w:textAlignment w:val="auto"/>
        <w:outlineLvl w:val="9"/>
        <w:rPr>
          <w:rFonts w:ascii="仿宋_GB2312" w:hAnsi="仿宋" w:eastAsia="仿宋_GB2312" w:cs="仿宋"/>
          <w:sz w:val="32"/>
          <w:szCs w:val="32"/>
        </w:rPr>
      </w:pPr>
      <w:r>
        <w:rPr>
          <w:rFonts w:hint="eastAsia" w:ascii="黑体" w:hAnsi="黑体" w:eastAsia="黑体" w:cs="仿宋"/>
          <w:sz w:val="32"/>
          <w:szCs w:val="32"/>
        </w:rPr>
        <w:t>一、创新基层组织建设，凝聚“她”力量。</w:t>
      </w:r>
      <w:r>
        <w:rPr>
          <w:rFonts w:hint="eastAsia" w:ascii="仿宋_GB2312" w:hAnsi="仿宋" w:eastAsia="仿宋_GB2312" w:cs="仿宋"/>
          <w:b/>
          <w:sz w:val="32"/>
          <w:szCs w:val="32"/>
        </w:rPr>
        <w:t>一是优化队伍聚合力。</w:t>
      </w:r>
      <w:r>
        <w:rPr>
          <w:rFonts w:hint="eastAsia" w:ascii="仿宋_GB2312" w:hAnsi="仿宋" w:eastAsia="仿宋_GB2312" w:cs="仿宋"/>
          <w:sz w:val="32"/>
          <w:szCs w:val="32"/>
        </w:rPr>
        <w:t>召开区第五次妇代会，选举产生新一届执委，吸引各行各业优秀女性到组织中来，专业精英云集，有成功创业的深二代、律师事务所高级合伙人、民营企业董事长、互联网掌门人、新市民代表、两新组织代表、基层一线代表、股份公司代表，有全国三八红旗手、全国文明家庭代表等，占执委委员人选比例的60.4%，形成一支以专职干部为骨干力量，挂职、兼职干部为重要支撑的充满活力的工作队伍，在多元共治中创新推进基层社会治理。开展处级女干部素质提升专题培训，举办试点工作业务培训和年度基层妇联干部培训等，全面提升女干部思想政治素质和业务能力。</w:t>
      </w:r>
      <w:r>
        <w:rPr>
          <w:rFonts w:hint="eastAsia" w:ascii="仿宋_GB2312" w:hAnsi="仿宋" w:eastAsia="仿宋_GB2312" w:cs="仿宋"/>
          <w:b/>
          <w:sz w:val="32"/>
          <w:szCs w:val="32"/>
        </w:rPr>
        <w:t>二是固本强基添活力。</w:t>
      </w:r>
      <w:r>
        <w:rPr>
          <w:rFonts w:hint="eastAsia" w:ascii="仿宋_GB2312" w:hAnsi="仿宋" w:eastAsia="仿宋_GB2312" w:cs="仿宋"/>
          <w:sz w:val="32"/>
          <w:szCs w:val="32"/>
        </w:rPr>
        <w:t>根据工作需要和人员变动情况，对区妇儿工委组成人员进行相应调整。发挥统筹协调作用，积极推动《两个规划》全面贯彻落实。中期评估统计监测报告显示，在有定量目标任务的149项中，139项达到中期目标，以93.3%的达标率领先全市。福田区被评为“广东省妇女儿童发展规划省级示范区（2016-2020年），福田区妇儿工委办公室获“2011-2015年全省实施妇女儿童发展规划先进集体荣誉称号”。</w:t>
      </w:r>
      <w:r>
        <w:rPr>
          <w:rFonts w:hint="eastAsia" w:ascii="仿宋_GB2312" w:hAnsi="仿宋" w:eastAsia="仿宋_GB2312" w:cs="仿宋"/>
          <w:b/>
          <w:sz w:val="32"/>
          <w:szCs w:val="32"/>
        </w:rPr>
        <w:t>三是强化党建增动力。</w:t>
      </w:r>
      <w:r>
        <w:rPr>
          <w:rFonts w:hint="eastAsia" w:ascii="仿宋_GB2312" w:hAnsi="仿宋" w:eastAsia="仿宋_GB2312" w:cs="仿宋"/>
          <w:sz w:val="32"/>
          <w:szCs w:val="32"/>
        </w:rPr>
        <w:t>把妇儿之家作为妇联参与基层社会管理与创新的重要载体，纳入基层党建格局，以丰富的活动吸引妇女儿童进家，使妇儿之家真正成为宣传政策的阵地、家庭文明建设的主战场、联系和服务群众的窗口。以街道妇联区域化改革和执委增补为契机，在工业园区、高端楼宇、两新组织等建立妇女组织，真正做到“党的基层组织建到哪里，妇联基层组织就建到哪里”，实现妇联社区组织架构的横向发展，最大限度把妇女团结凝聚起来。</w:t>
      </w:r>
    </w:p>
    <w:p>
      <w:pPr>
        <w:wordWrap/>
        <w:adjustRightInd/>
        <w:snapToGrid/>
        <w:spacing w:line="540" w:lineRule="exact"/>
        <w:ind w:left="0" w:leftChars="0" w:right="0" w:firstLine="640" w:firstLineChars="200"/>
        <w:jc w:val="both"/>
        <w:textAlignment w:val="auto"/>
        <w:outlineLvl w:val="9"/>
        <w:rPr>
          <w:rFonts w:ascii="仿宋_GB2312" w:hAnsi="仿宋" w:eastAsia="仿宋_GB2312" w:cs="仿宋"/>
          <w:sz w:val="32"/>
          <w:szCs w:val="32"/>
        </w:rPr>
      </w:pPr>
      <w:r>
        <w:rPr>
          <w:rFonts w:hint="eastAsia" w:ascii="黑体" w:hAnsi="黑体" w:eastAsia="黑体" w:cs="仿宋"/>
          <w:sz w:val="32"/>
          <w:szCs w:val="32"/>
          <w:lang w:eastAsia="zh-CN"/>
        </w:rPr>
        <w:t>二</w:t>
      </w:r>
      <w:r>
        <w:rPr>
          <w:rFonts w:hint="eastAsia" w:ascii="黑体" w:hAnsi="黑体" w:eastAsia="黑体" w:cs="仿宋"/>
          <w:sz w:val="32"/>
          <w:szCs w:val="32"/>
        </w:rPr>
        <w:t>、创新儿童友好城区建设，发挥“她”作用。</w:t>
      </w:r>
      <w:r>
        <w:rPr>
          <w:rFonts w:hint="eastAsia" w:ascii="仿宋_GB2312" w:hAnsi="仿宋" w:eastAsia="仿宋_GB2312" w:cs="仿宋"/>
          <w:sz w:val="32"/>
          <w:szCs w:val="32"/>
          <w:lang w:eastAsia="zh-CN"/>
        </w:rPr>
        <w:t>为了把民生实事真正做实，坚持以问题为导向，着重从三方面发力。</w:t>
      </w:r>
      <w:r>
        <w:rPr>
          <w:rFonts w:hint="eastAsia" w:ascii="仿宋_GB2312" w:hAnsi="仿宋" w:eastAsia="仿宋_GB2312" w:cs="仿宋"/>
          <w:b/>
          <w:bCs/>
          <w:sz w:val="32"/>
          <w:szCs w:val="32"/>
        </w:rPr>
        <w:t>一是“政策友好”为儿童发展提供指引。</w:t>
      </w:r>
      <w:r>
        <w:rPr>
          <w:rFonts w:hint="eastAsia" w:ascii="仿宋_GB2312" w:hAnsi="仿宋" w:eastAsia="仿宋_GB2312" w:cs="仿宋"/>
          <w:sz w:val="32"/>
          <w:szCs w:val="32"/>
        </w:rPr>
        <w:t>出台《儿童友好社区建设指引》和《儿童公益服务指南》，为儿童公益服务组织提供专题培训；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11.20</w:t>
      </w:r>
      <w:r>
        <w:rPr>
          <w:rFonts w:hint="eastAsia" w:ascii="仿宋" w:hAnsi="仿宋" w:eastAsia="仿宋" w:cs="仿宋"/>
          <w:sz w:val="32"/>
          <w:szCs w:val="32"/>
          <w:lang w:eastAsia="zh-CN"/>
        </w:rPr>
        <w:t>”</w:t>
      </w:r>
      <w:r>
        <w:rPr>
          <w:rFonts w:hint="eastAsia" w:ascii="仿宋" w:hAnsi="仿宋" w:eastAsia="仿宋" w:cs="仿宋"/>
          <w:sz w:val="32"/>
          <w:szCs w:val="32"/>
        </w:rPr>
        <w:t>世界儿童日率先在益田社区建立“社区儿童议事会”制度，探索社区治理倾听儿童声音的长效机制，让儿童不仅发声，</w:t>
      </w:r>
      <w:r>
        <w:rPr>
          <w:rFonts w:hint="eastAsia" w:ascii="仿宋" w:hAnsi="仿宋" w:eastAsia="仿宋" w:cs="仿宋"/>
          <w:sz w:val="32"/>
          <w:szCs w:val="32"/>
          <w:lang w:eastAsia="zh-CN"/>
        </w:rPr>
        <w:t>并</w:t>
      </w:r>
      <w:r>
        <w:rPr>
          <w:rFonts w:hint="eastAsia" w:ascii="仿宋" w:hAnsi="仿宋" w:eastAsia="仿宋" w:cs="仿宋"/>
          <w:sz w:val="32"/>
          <w:szCs w:val="32"/>
        </w:rPr>
        <w:t>以主人翁的身份参与社区管理</w:t>
      </w:r>
      <w:r>
        <w:rPr>
          <w:rFonts w:hint="eastAsia" w:ascii="仿宋" w:hAnsi="仿宋" w:eastAsia="仿宋" w:cs="黑体"/>
          <w:sz w:val="32"/>
          <w:szCs w:val="32"/>
        </w:rPr>
        <w:t>。</w:t>
      </w:r>
      <w:r>
        <w:rPr>
          <w:rFonts w:hint="eastAsia" w:ascii="仿宋" w:hAnsi="仿宋" w:eastAsia="仿宋" w:cs="黑体"/>
          <w:sz w:val="32"/>
          <w:szCs w:val="32"/>
          <w:lang w:eastAsia="zh-CN"/>
        </w:rPr>
        <w:t>孩子们表现出来的大方、自信，很好地展示了深圳开放、创新、多元的城市特质，给儿童会驻华代表花楠女士留下了深刻印象，当晚，花楠女士和吴以环副市长、马宏主席一同参加了平安金融中心举行的“点亮城市、点亮儿童未来”的庆祝活动，对活动给予高度肯定，市妇儿工委专门给区委区政府发来感谢信</w:t>
      </w:r>
      <w:r>
        <w:rPr>
          <w:rFonts w:hint="eastAsia" w:ascii="仿宋_GB2312" w:hAnsi="仿宋" w:eastAsia="仿宋_GB2312" w:cs="仿宋"/>
          <w:sz w:val="32"/>
          <w:szCs w:val="32"/>
        </w:rPr>
        <w:t>；</w:t>
      </w:r>
      <w:r>
        <w:rPr>
          <w:rFonts w:hint="eastAsia" w:ascii="仿宋_GB2312" w:hAnsi="仿宋" w:eastAsia="仿宋_GB2312" w:cs="仿宋"/>
          <w:b/>
          <w:sz w:val="32"/>
          <w:szCs w:val="32"/>
        </w:rPr>
        <w:t>二是“空间友好”为儿童成长提供乐园。</w:t>
      </w:r>
      <w:r>
        <w:rPr>
          <w:rFonts w:hint="eastAsia" w:ascii="仿宋_GB2312" w:hAnsi="仿宋" w:eastAsia="仿宋_GB2312" w:cs="仿宋"/>
          <w:sz w:val="32"/>
          <w:szCs w:val="32"/>
        </w:rPr>
        <w:t>对辖区图书馆进行升级改造，推出“童阅福田”项目，优化儿童室内外的阅读环境及空间，引入“绘本工厂”等儿童阅读普惠型公共服务项目，满足儿童阅读与健康发展的兴趣和需求。在社区公园升级改造中广泛征求儿童意见，充分考虑儿童的需求，尽可能增加儿童游乐设施、儿童活动的面积。通过改造园岭小学等，提高儿童上下学出行安全性、便捷性、启动母婴室项目建设。</w:t>
      </w:r>
      <w:r>
        <w:rPr>
          <w:rFonts w:hint="eastAsia" w:ascii="仿宋_GB2312" w:hAnsi="仿宋" w:eastAsia="仿宋_GB2312" w:cs="仿宋"/>
          <w:b/>
          <w:sz w:val="32"/>
          <w:szCs w:val="32"/>
        </w:rPr>
        <w:t>三是“服务友好”为儿童成才搭建平台。</w:t>
      </w:r>
      <w:r>
        <w:rPr>
          <w:rFonts w:hint="eastAsia" w:ascii="仿宋_GB2312" w:hAnsi="仿宋" w:eastAsia="仿宋_GB2312" w:cs="仿宋"/>
          <w:b w:val="0"/>
          <w:bCs/>
          <w:sz w:val="32"/>
          <w:szCs w:val="32"/>
          <w:lang w:eastAsia="zh-CN"/>
        </w:rPr>
        <w:t>“抓两头，促中间”，既雪中送炭，也锦上添花，实现服务全覆盖。</w:t>
      </w:r>
      <w:r>
        <w:rPr>
          <w:rFonts w:hint="eastAsia" w:ascii="仿宋_GB2312" w:hAnsi="仿宋" w:eastAsia="仿宋_GB2312" w:cs="仿宋"/>
          <w:b w:val="0"/>
          <w:bCs/>
          <w:sz w:val="32"/>
          <w:szCs w:val="32"/>
        </w:rPr>
        <w:t>针对才艺杰出</w:t>
      </w:r>
      <w:r>
        <w:rPr>
          <w:rFonts w:hint="eastAsia" w:ascii="仿宋_GB2312" w:hAnsi="仿宋" w:eastAsia="仿宋_GB2312" w:cs="仿宋"/>
          <w:sz w:val="32"/>
          <w:szCs w:val="32"/>
        </w:rPr>
        <w:t>儿童，举办“深圳儿童音乐节”和 “福田国际象棋嘉年华”等，为儿童搭建才艺成长平台，打造“儿童友好型”标杆性文化品牌，</w:t>
      </w:r>
      <w:r>
        <w:rPr>
          <w:rFonts w:hint="eastAsia" w:ascii="仿宋_GB2312" w:hAnsi="仿宋" w:eastAsia="仿宋_GB2312" w:cs="仿宋"/>
          <w:sz w:val="32"/>
          <w:szCs w:val="32"/>
          <w:lang w:eastAsia="zh-CN"/>
        </w:rPr>
        <w:t>聘请福田体育名人、儿童教育专家谢军作为</w:t>
      </w:r>
      <w:r>
        <w:rPr>
          <w:rFonts w:hint="eastAsia" w:ascii="仿宋_GB2312" w:hAnsi="仿宋" w:eastAsia="仿宋_GB2312" w:cs="仿宋"/>
          <w:sz w:val="32"/>
          <w:szCs w:val="32"/>
        </w:rPr>
        <w:t>儿童友好型城区爱心推广大使</w:t>
      </w:r>
      <w:r>
        <w:rPr>
          <w:rFonts w:hint="eastAsia" w:ascii="仿宋_GB2312" w:hAnsi="仿宋" w:eastAsia="仿宋_GB2312" w:cs="仿宋"/>
          <w:sz w:val="32"/>
          <w:szCs w:val="32"/>
          <w:lang w:eastAsia="zh-CN"/>
        </w:rPr>
        <w:t>，举办</w:t>
      </w:r>
      <w:r>
        <w:rPr>
          <w:rFonts w:hint="eastAsia" w:ascii="仿宋_GB2312" w:hAnsi="仿宋" w:eastAsia="仿宋_GB2312" w:cs="仿宋"/>
          <w:sz w:val="32"/>
          <w:szCs w:val="32"/>
        </w:rPr>
        <w:t>系列讲座，</w:t>
      </w:r>
      <w:r>
        <w:rPr>
          <w:rFonts w:hint="eastAsia" w:ascii="仿宋_GB2312" w:hAnsi="仿宋" w:eastAsia="仿宋_GB2312" w:cs="仿宋"/>
          <w:sz w:val="32"/>
          <w:szCs w:val="32"/>
          <w:lang w:eastAsia="zh-CN"/>
        </w:rPr>
        <w:t>吸引</w:t>
      </w:r>
      <w:r>
        <w:rPr>
          <w:rFonts w:hint="eastAsia" w:ascii="仿宋_GB2312" w:hAnsi="仿宋" w:eastAsia="仿宋_GB2312" w:cs="仿宋"/>
          <w:sz w:val="32"/>
          <w:szCs w:val="32"/>
        </w:rPr>
        <w:t>家长、老师</w:t>
      </w:r>
      <w:r>
        <w:rPr>
          <w:rFonts w:hint="eastAsia" w:ascii="仿宋_GB2312" w:hAnsi="仿宋" w:eastAsia="仿宋_GB2312" w:cs="仿宋"/>
          <w:sz w:val="32"/>
          <w:szCs w:val="32"/>
          <w:lang w:eastAsia="zh-CN"/>
        </w:rPr>
        <w:t>多方</w:t>
      </w:r>
      <w:r>
        <w:rPr>
          <w:rFonts w:hint="eastAsia" w:ascii="仿宋_GB2312" w:hAnsi="仿宋" w:eastAsia="仿宋_GB2312" w:cs="仿宋"/>
          <w:sz w:val="32"/>
          <w:szCs w:val="32"/>
        </w:rPr>
        <w:t>参与创建工作。针对社区大众儿童，通过购买服务方式，实施儿童公益服务</w:t>
      </w:r>
      <w:r>
        <w:rPr>
          <w:rFonts w:ascii="仿宋_GB2312" w:hAnsi="仿宋" w:eastAsia="仿宋_GB2312" w:cs="仿宋"/>
          <w:sz w:val="32"/>
          <w:szCs w:val="32"/>
        </w:rPr>
        <w:t>PPP</w:t>
      </w:r>
      <w:r>
        <w:rPr>
          <w:rFonts w:hint="eastAsia" w:ascii="仿宋_GB2312" w:hAnsi="仿宋" w:eastAsia="仿宋_GB2312" w:cs="仿宋"/>
          <w:sz w:val="32"/>
          <w:szCs w:val="32"/>
        </w:rPr>
        <w:t>模式。针对困境留守儿童，率先全市建立并动态更新困境儿童数据库，开展</w:t>
      </w:r>
      <w:r>
        <w:rPr>
          <w:rFonts w:ascii="仿宋_GB2312" w:hAnsi="仿宋" w:eastAsia="仿宋_GB2312" w:cs="仿宋"/>
          <w:sz w:val="32"/>
          <w:szCs w:val="32"/>
        </w:rPr>
        <w:t>“留住爱·守护你”情系来深留守儿童系列关爱活动</w:t>
      </w:r>
      <w:r>
        <w:rPr>
          <w:rFonts w:hint="eastAsia" w:ascii="仿宋_GB2312" w:hAnsi="仿宋" w:eastAsia="仿宋_GB2312" w:cs="仿宋"/>
          <w:sz w:val="32"/>
          <w:szCs w:val="32"/>
        </w:rPr>
        <w:t>。目前，</w:t>
      </w:r>
      <w:r>
        <w:rPr>
          <w:rFonts w:hint="eastAsia" w:ascii="仿宋_GB2312" w:hAnsi="仿宋" w:eastAsia="仿宋_GB2312" w:cs="仿宋"/>
          <w:sz w:val="32"/>
          <w:szCs w:val="32"/>
          <w:lang w:eastAsia="zh-CN"/>
        </w:rPr>
        <w:t>儿童友好社区建设初见成效，</w:t>
      </w:r>
      <w:r>
        <w:rPr>
          <w:rFonts w:hint="eastAsia" w:ascii="仿宋_GB2312" w:hAnsi="仿宋" w:eastAsia="仿宋_GB2312" w:cs="仿宋"/>
          <w:sz w:val="32"/>
          <w:szCs w:val="32"/>
        </w:rPr>
        <w:t>福保街道益田社区被评为广东省“儿童友好示范社区”，福田</w:t>
      </w:r>
      <w:r>
        <w:rPr>
          <w:rFonts w:ascii="仿宋_GB2312" w:hAnsi="仿宋" w:eastAsia="仿宋_GB2312" w:cs="仿宋"/>
          <w:sz w:val="32"/>
          <w:szCs w:val="32"/>
        </w:rPr>
        <w:t>“儿童友好型社区”项目被确定为广东省实施妇女儿童规划省级示范项目</w:t>
      </w:r>
      <w:r>
        <w:rPr>
          <w:rFonts w:hint="eastAsia" w:ascii="仿宋_GB2312" w:hAnsi="仿宋" w:eastAsia="仿宋_GB2312" w:cs="仿宋"/>
          <w:sz w:val="32"/>
          <w:szCs w:val="32"/>
        </w:rPr>
        <w:t>。</w:t>
      </w:r>
    </w:p>
    <w:p>
      <w:pPr>
        <w:wordWrap/>
        <w:adjustRightInd/>
        <w:snapToGrid/>
        <w:spacing w:line="540" w:lineRule="exact"/>
        <w:ind w:left="0" w:leftChars="0" w:right="0" w:firstLine="640" w:firstLineChars="200"/>
        <w:jc w:val="both"/>
        <w:textAlignment w:val="auto"/>
        <w:outlineLvl w:val="9"/>
        <w:rPr>
          <w:rFonts w:ascii="仿宋_GB2312" w:hAnsi="仿宋" w:eastAsia="仿宋_GB2312" w:cs="仿宋"/>
          <w:sz w:val="32"/>
          <w:szCs w:val="32"/>
        </w:rPr>
      </w:pPr>
      <w:r>
        <w:rPr>
          <w:rFonts w:hint="eastAsia" w:ascii="黑体" w:hAnsi="黑体" w:eastAsia="黑体" w:cs="仿宋"/>
          <w:sz w:val="32"/>
          <w:szCs w:val="32"/>
        </w:rPr>
        <w:t>三、创新妇儿保障机制，服务“她”需求。</w:t>
      </w:r>
      <w:r>
        <w:rPr>
          <w:rFonts w:hint="eastAsia" w:ascii="仿宋_GB2312" w:hAnsi="仿宋" w:eastAsia="仿宋_GB2312" w:cs="仿宋"/>
          <w:b/>
          <w:sz w:val="32"/>
          <w:szCs w:val="32"/>
        </w:rPr>
        <w:t>一是打造“十有”示范婚调室化解家庭纠纷。</w:t>
      </w:r>
      <w:r>
        <w:rPr>
          <w:rFonts w:hint="eastAsia" w:ascii="仿宋_GB2312" w:hAnsi="仿宋" w:eastAsia="仿宋_GB2312" w:cs="仿宋"/>
          <w:sz w:val="32"/>
          <w:szCs w:val="32"/>
        </w:rPr>
        <w:t>以法院婚调示范点为依托，与区人民法院在化解婚姻家庭纠纷领域开展合作，将区法院“家事调查员和调解员”项目与“婚姻家庭纠纷人民调解”项目进行对接，实现司法调解与人民调解的配合衔接，满足人民群众多元化的调解需求，全年共化解婚姻家庭纠纷矛盾198宗，为全市婚调工作提供了可复制模式。</w:t>
      </w:r>
      <w:r>
        <w:rPr>
          <w:rFonts w:hint="eastAsia" w:ascii="仿宋_GB2312" w:hAnsi="仿宋" w:eastAsia="仿宋_GB2312" w:cs="仿宋"/>
          <w:b/>
          <w:sz w:val="32"/>
          <w:szCs w:val="32"/>
        </w:rPr>
        <w:t>二是全方位多渠道关爱辖区困境妇女儿童。</w:t>
      </w:r>
      <w:r>
        <w:rPr>
          <w:rFonts w:hint="eastAsia" w:ascii="仿宋_GB2312" w:hAnsi="仿宋" w:eastAsia="仿宋_GB2312" w:cs="仿宋"/>
          <w:sz w:val="32"/>
          <w:szCs w:val="32"/>
        </w:rPr>
        <w:t>举办FOR SHE——</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她</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民生·对话。辖区各界女性代表发言展露现代女性在不同角色中面临的挑战和遇到的难题，专家团队以女性情怀和人文关怀提出建设性意见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动态更新困境妇女儿童数据库，春节、“三八”前夕对辖区120名特困单亲母亲开展慰问，“六一”期间对辖区150名困境儿童开展慰问。</w:t>
      </w:r>
      <w:r>
        <w:rPr>
          <w:rFonts w:hint="eastAsia" w:ascii="仿宋_GB2312" w:hAnsi="仿宋" w:eastAsia="仿宋_GB2312" w:cs="仿宋"/>
          <w:b/>
          <w:sz w:val="32"/>
          <w:szCs w:val="32"/>
        </w:rPr>
        <w:t>三是创新搭建平台助力女性就业创业。</w:t>
      </w:r>
      <w:r>
        <w:rPr>
          <w:rFonts w:hint="eastAsia" w:ascii="仿宋_GB2312" w:hAnsi="仿宋" w:eastAsia="仿宋_GB2312" w:cs="仿宋"/>
          <w:sz w:val="32"/>
          <w:szCs w:val="32"/>
        </w:rPr>
        <w:t>依托女性就业创业服务基地，开展“巾帼创未来”创业就业系列活动，实现就业“点菜式”服务，帮助女性实现梦想。多名女大学生创办公司，53名下岗女性成功再就业。</w:t>
      </w:r>
    </w:p>
    <w:p>
      <w:pPr>
        <w:wordWrap/>
        <w:adjustRightInd/>
        <w:snapToGrid/>
        <w:spacing w:line="540" w:lineRule="exact"/>
        <w:ind w:left="0" w:leftChars="0" w:right="0" w:firstLine="640" w:firstLineChars="200"/>
        <w:jc w:val="both"/>
        <w:textAlignment w:val="auto"/>
        <w:outlineLvl w:val="9"/>
        <w:rPr>
          <w:rFonts w:hint="eastAsia" w:ascii="仿宋_GB2312" w:hAnsi="仿宋" w:eastAsia="仿宋_GB2312" w:cs="仿宋"/>
          <w:sz w:val="32"/>
          <w:szCs w:val="32"/>
        </w:rPr>
      </w:pPr>
      <w:r>
        <w:rPr>
          <w:rFonts w:hint="eastAsia" w:ascii="黑体" w:hAnsi="黑体" w:eastAsia="黑体" w:cs="仿宋"/>
          <w:sz w:val="32"/>
          <w:szCs w:val="32"/>
          <w:lang w:eastAsia="zh-CN"/>
        </w:rPr>
        <w:t>四</w:t>
      </w:r>
      <w:r>
        <w:rPr>
          <w:rFonts w:hint="eastAsia" w:ascii="黑体" w:hAnsi="黑体" w:eastAsia="黑体" w:cs="仿宋"/>
          <w:sz w:val="32"/>
          <w:szCs w:val="32"/>
        </w:rPr>
        <w:t>、创新公益服务模式，动员“她”参与。</w:t>
      </w:r>
      <w:r>
        <w:rPr>
          <w:rFonts w:hint="eastAsia" w:ascii="仿宋_GB2312" w:hAnsi="仿宋" w:eastAsia="仿宋_GB2312" w:cs="仿宋"/>
          <w:b/>
          <w:sz w:val="32"/>
          <w:szCs w:val="32"/>
        </w:rPr>
        <w:t>一是通过群团组织“社团加速器”延伸工作手臂。</w:t>
      </w:r>
      <w:r>
        <w:rPr>
          <w:rFonts w:hint="eastAsia" w:ascii="仿宋_GB2312" w:hAnsi="仿宋" w:eastAsia="仿宋_GB2312" w:cs="仿宋"/>
          <w:sz w:val="32"/>
          <w:szCs w:val="32"/>
        </w:rPr>
        <w:t>完善社会组织发展的人才链、服务链、资金链和信息链，整体提升社会组织在法律事务、公共服务、团队事务和公共事务等方面的能力，开展社团组织与街道社区公益项目对接，邀请创业就业、家庭教育、情感关怀、环保公益、志愿服务等领域开展10大系列20类近160余项公益项目。</w:t>
      </w:r>
      <w:r>
        <w:rPr>
          <w:rFonts w:hint="eastAsia" w:ascii="仿宋_GB2312" w:hAnsi="仿宋" w:eastAsia="仿宋_GB2312" w:cs="仿宋"/>
          <w:b/>
          <w:bCs/>
          <w:sz w:val="32"/>
          <w:szCs w:val="32"/>
          <w:lang w:eastAsia="zh-CN"/>
        </w:rPr>
        <w:t>二</w:t>
      </w:r>
      <w:r>
        <w:rPr>
          <w:rFonts w:hint="eastAsia" w:ascii="仿宋_GB2312" w:hAnsi="仿宋" w:eastAsia="仿宋_GB2312" w:cs="仿宋"/>
          <w:b/>
          <w:sz w:val="32"/>
          <w:szCs w:val="32"/>
        </w:rPr>
        <w:t>是通过福田鹊桥网破解单身白领婚恋难。</w:t>
      </w:r>
      <w:r>
        <w:rPr>
          <w:rFonts w:hint="eastAsia" w:ascii="仿宋_GB2312" w:hAnsi="仿宋" w:eastAsia="仿宋_GB2312" w:cs="仿宋"/>
          <w:sz w:val="32"/>
          <w:szCs w:val="32"/>
        </w:rPr>
        <w:t>通过社会资源提供“歌巢”K歌坊、“跳巢”运动场、“书巢”读书会和“吐巢”咖啡屋，开展涵盖文化、体育、娱乐、休闲，线下交友活动40场，举办第五届“爱在福田，相约七夕”CBD精英鹊桥会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近万名单身男女参加，发放婚恋指导类折页及宣传册2500余份。以</w:t>
      </w:r>
      <w:r>
        <w:rPr>
          <w:rFonts w:ascii="仿宋_GB2312" w:hAnsi="仿宋" w:eastAsia="仿宋_GB2312" w:cs="仿宋"/>
          <w:sz w:val="32"/>
          <w:szCs w:val="32"/>
        </w:rPr>
        <w:t>“两地庆回归、骑行结良缘”为主题，结合时下“共享单车”骑行模式，通过</w:t>
      </w:r>
      <w:r>
        <w:rPr>
          <w:rFonts w:hint="eastAsia" w:ascii="仿宋_GB2312" w:hAnsi="仿宋" w:eastAsia="仿宋_GB2312" w:cs="仿宋"/>
          <w:sz w:val="32"/>
          <w:szCs w:val="32"/>
        </w:rPr>
        <w:t>骑行和</w:t>
      </w:r>
      <w:r>
        <w:rPr>
          <w:rFonts w:ascii="仿宋_GB2312" w:hAnsi="仿宋" w:eastAsia="仿宋_GB2312" w:cs="仿宋"/>
          <w:sz w:val="32"/>
          <w:szCs w:val="32"/>
        </w:rPr>
        <w:t>“与你初识”</w:t>
      </w:r>
      <w:r>
        <w:rPr>
          <w:rFonts w:hint="eastAsia" w:ascii="仿宋_GB2312" w:hAnsi="仿宋" w:eastAsia="仿宋_GB2312" w:cs="仿宋"/>
          <w:sz w:val="32"/>
          <w:szCs w:val="32"/>
          <w:lang w:eastAsia="zh-CN"/>
        </w:rPr>
        <w:t>、</w:t>
      </w:r>
      <w:r>
        <w:rPr>
          <w:rFonts w:ascii="仿宋_GB2312" w:hAnsi="仿宋" w:eastAsia="仿宋_GB2312" w:cs="仿宋"/>
          <w:sz w:val="32"/>
          <w:szCs w:val="32"/>
        </w:rPr>
        <w:t>“深港传情”等互动游戏，促进深港两地青年的相互了解，协助解决两地青年的婚恋问题。</w:t>
      </w:r>
      <w:r>
        <w:rPr>
          <w:rFonts w:hint="eastAsia" w:ascii="仿宋_GB2312" w:hAnsi="仿宋" w:eastAsia="仿宋_GB2312" w:cs="仿宋"/>
          <w:sz w:val="32"/>
          <w:szCs w:val="32"/>
        </w:rPr>
        <w:t>与华强北街道在“2017一带一路•跨界文商节”</w:t>
      </w:r>
      <w:r>
        <w:rPr>
          <w:rFonts w:hint="eastAsia" w:ascii="仿宋_GB2312" w:hAnsi="仿宋" w:eastAsia="仿宋_GB2312" w:cs="仿宋"/>
          <w:sz w:val="32"/>
          <w:szCs w:val="32"/>
          <w:lang w:eastAsia="zh-CN"/>
        </w:rPr>
        <w:t>。</w:t>
      </w:r>
      <w:r>
        <w:rPr>
          <w:rFonts w:hint="eastAsia" w:ascii="仿宋_GB2312" w:hAnsi="仿宋" w:eastAsia="仿宋_GB2312" w:cs="仿宋"/>
          <w:b/>
          <w:sz w:val="32"/>
          <w:szCs w:val="32"/>
          <w:lang w:eastAsia="zh-CN"/>
        </w:rPr>
        <w:t>三</w:t>
      </w:r>
      <w:r>
        <w:rPr>
          <w:rFonts w:hint="eastAsia" w:ascii="仿宋_GB2312" w:hAnsi="仿宋" w:eastAsia="仿宋_GB2312" w:cs="仿宋"/>
          <w:b/>
          <w:sz w:val="32"/>
          <w:szCs w:val="32"/>
        </w:rPr>
        <w:t>是通过社会力量为女性参与搭建平台。</w:t>
      </w:r>
      <w:r>
        <w:rPr>
          <w:rFonts w:hint="eastAsia" w:ascii="仿宋_GB2312" w:hAnsi="仿宋" w:eastAsia="仿宋_GB2312" w:cs="仿宋"/>
          <w:sz w:val="32"/>
          <w:szCs w:val="32"/>
        </w:rPr>
        <w:t>依托福田区羽毛球协会，举办“和谐杯”家庭羽毛球趣味挑战赛，将竞技性和趣味性融为一体，弘扬“好家风 新风貌”，以“小家幸福”促进“大家和谐”</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通过福田区女</w:t>
      </w:r>
      <w:r>
        <w:rPr>
          <w:rFonts w:hint="eastAsia" w:ascii="仿宋_GB2312" w:hAnsi="仿宋" w:eastAsia="仿宋_GB2312" w:cs="仿宋"/>
          <w:sz w:val="32"/>
          <w:szCs w:val="32"/>
          <w:lang w:eastAsia="zh-CN"/>
        </w:rPr>
        <w:t>律</w:t>
      </w:r>
      <w:r>
        <w:rPr>
          <w:rFonts w:hint="eastAsia" w:ascii="仿宋_GB2312" w:hAnsi="仿宋" w:eastAsia="仿宋_GB2312" w:cs="仿宋"/>
          <w:sz w:val="32"/>
          <w:szCs w:val="32"/>
        </w:rPr>
        <w:t>师志愿服务团、女医师志愿服务团、女企业家志愿服务团</w:t>
      </w:r>
      <w:r>
        <w:rPr>
          <w:rFonts w:hint="eastAsia" w:ascii="仿宋_GB2312" w:hAnsi="仿宋" w:eastAsia="仿宋_GB2312" w:cs="仿宋"/>
          <w:sz w:val="32"/>
          <w:szCs w:val="32"/>
          <w:lang w:eastAsia="zh-CN"/>
        </w:rPr>
        <w:t>进社区，</w:t>
      </w:r>
      <w:r>
        <w:rPr>
          <w:rFonts w:hint="eastAsia" w:ascii="仿宋_GB2312" w:hAnsi="仿宋" w:eastAsia="仿宋_GB2312" w:cs="仿宋"/>
          <w:sz w:val="32"/>
          <w:szCs w:val="32"/>
        </w:rPr>
        <w:t>开展维护妇女儿童合法权益、儿童成长教育服务、和谐家庭创建和妇女创业就业服务等</w:t>
      </w:r>
      <w:r>
        <w:rPr>
          <w:rFonts w:hint="eastAsia" w:ascii="仿宋_GB2312" w:hAnsi="仿宋" w:eastAsia="仿宋_GB2312" w:cs="仿宋"/>
          <w:sz w:val="32"/>
          <w:szCs w:val="32"/>
          <w:lang w:eastAsia="zh-CN"/>
        </w:rPr>
        <w:t>。</w:t>
      </w:r>
    </w:p>
    <w:p>
      <w:pPr>
        <w:widowControl/>
        <w:wordWrap/>
        <w:adjustRightInd/>
        <w:snapToGrid/>
        <w:spacing w:line="540" w:lineRule="exact"/>
        <w:ind w:left="0" w:leftChars="0" w:right="0" w:firstLine="640" w:firstLineChars="200"/>
        <w:jc w:val="both"/>
        <w:textAlignment w:val="auto"/>
        <w:outlineLvl w:val="9"/>
        <w:rPr>
          <w:rFonts w:ascii="仿宋_GB2312" w:hAnsi="仿宋" w:eastAsia="仿宋_GB2312" w:cs="仿宋"/>
          <w:sz w:val="32"/>
          <w:szCs w:val="32"/>
        </w:rPr>
      </w:pPr>
      <w:r>
        <w:rPr>
          <w:rFonts w:hint="eastAsia" w:ascii="黑体" w:hAnsi="黑体" w:eastAsia="黑体" w:cs="仿宋"/>
          <w:sz w:val="32"/>
          <w:szCs w:val="32"/>
        </w:rPr>
        <w:t>五、创新家庭文明载体，彰显“她”魅力。</w:t>
      </w:r>
      <w:r>
        <w:rPr>
          <w:rFonts w:hint="eastAsia" w:ascii="仿宋_GB2312" w:hAnsi="仿宋" w:eastAsia="仿宋_GB2312" w:cs="仿宋"/>
          <w:b/>
          <w:sz w:val="32"/>
          <w:szCs w:val="32"/>
        </w:rPr>
        <w:t>一是福田“最美家庭”再获全国殊荣。</w:t>
      </w:r>
      <w:r>
        <w:rPr>
          <w:rFonts w:hint="eastAsia" w:ascii="仿宋_GB2312" w:hAnsi="仿宋" w:eastAsia="仿宋_GB2312" w:cs="仿宋"/>
          <w:sz w:val="32"/>
          <w:szCs w:val="32"/>
        </w:rPr>
        <w:t>贯彻落实</w:t>
      </w:r>
      <w:r>
        <w:rPr>
          <w:rFonts w:hint="eastAsia" w:ascii="仿宋_GB2312" w:hAnsi="仿宋" w:eastAsia="仿宋_GB2312" w:cs="仿宋"/>
          <w:sz w:val="32"/>
          <w:szCs w:val="32"/>
          <w:lang w:eastAsia="zh-CN"/>
        </w:rPr>
        <w:t>习近平总书记</w:t>
      </w:r>
      <w:r>
        <w:rPr>
          <w:rFonts w:hint="eastAsia" w:ascii="仿宋_GB2312" w:hAnsi="仿宋" w:eastAsia="仿宋_GB2312" w:cs="仿宋"/>
          <w:sz w:val="32"/>
          <w:szCs w:val="32"/>
        </w:rPr>
        <w:t>关于家庭、家风、家教的重要指示精神，把家庭作为培育和践行社会主义核心价值观的落脚点，立足全区97个“妇女儿童之家”，开展晒家庭幸福、议家风文明、讲家庭故事、秀家庭梦想等主题活动，我区杨华兰家庭获2017“全国最美家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指导开展深圳市第二届家园文化节，通过“健美之家”广场舞大赛、以及“爱我家园”万人签名活动等活动，其中“文明家园 良好家风”短信/微信大赛共收到家风18725条。</w:t>
      </w:r>
      <w:r>
        <w:rPr>
          <w:rFonts w:hint="eastAsia" w:ascii="仿宋_GB2312" w:hAnsi="仿宋" w:eastAsia="仿宋_GB2312" w:cs="仿宋"/>
          <w:b/>
          <w:sz w:val="32"/>
          <w:szCs w:val="32"/>
        </w:rPr>
        <w:t>二是“诗书传万家”活动助力文明城市创建。</w:t>
      </w:r>
      <w:r>
        <w:rPr>
          <w:rFonts w:hint="eastAsia" w:ascii="仿宋_GB2312" w:hAnsi="仿宋" w:eastAsia="仿宋_GB2312" w:cs="仿宋"/>
          <w:sz w:val="32"/>
          <w:szCs w:val="32"/>
        </w:rPr>
        <w:t>以家庭、家风、家教为落点，通过</w:t>
      </w:r>
      <w:r>
        <w:rPr>
          <w:rFonts w:ascii="仿宋_GB2312" w:hAnsi="仿宋" w:eastAsia="仿宋_GB2312" w:cs="仿宋"/>
          <w:sz w:val="32"/>
          <w:szCs w:val="32"/>
        </w:rPr>
        <w:t>“唱诗演礼·村落篇”、“走读福田·家庭篇”、“诗礼讲堂·社区篇”、“明德亲民·机关篇”、“家风家训·企业篇”</w:t>
      </w:r>
      <w:r>
        <w:rPr>
          <w:rFonts w:hint="eastAsia" w:ascii="仿宋_GB2312" w:hAnsi="仿宋" w:eastAsia="仿宋_GB2312" w:cs="仿宋"/>
          <w:sz w:val="32"/>
          <w:szCs w:val="32"/>
        </w:rPr>
        <w:t>五篇章文</w:t>
      </w:r>
      <w:r>
        <w:rPr>
          <w:rFonts w:ascii="仿宋_GB2312" w:hAnsi="仿宋" w:eastAsia="仿宋_GB2312" w:cs="仿宋"/>
          <w:sz w:val="32"/>
          <w:szCs w:val="32"/>
        </w:rPr>
        <w:t>化传承篇章，</w:t>
      </w:r>
      <w:r>
        <w:rPr>
          <w:rFonts w:hint="eastAsia" w:ascii="仿宋_GB2312" w:hAnsi="仿宋" w:eastAsia="仿宋_GB2312" w:cs="仿宋"/>
          <w:sz w:val="32"/>
          <w:szCs w:val="32"/>
        </w:rPr>
        <w:t>以</w:t>
      </w:r>
      <w:r>
        <w:rPr>
          <w:rFonts w:ascii="仿宋_GB2312" w:hAnsi="仿宋" w:eastAsia="仿宋_GB2312" w:cs="仿宋"/>
          <w:sz w:val="32"/>
          <w:szCs w:val="32"/>
        </w:rPr>
        <w:t>展演、体验等与市民面对面互动交流的方式，将优秀传统文化传进福田的千家万户</w:t>
      </w:r>
      <w:r>
        <w:rPr>
          <w:rFonts w:hint="eastAsia" w:ascii="仿宋_GB2312" w:hAnsi="仿宋" w:eastAsia="仿宋_GB2312" w:cs="仿宋"/>
          <w:sz w:val="32"/>
          <w:szCs w:val="32"/>
        </w:rPr>
        <w:t>，</w:t>
      </w:r>
      <w:r>
        <w:rPr>
          <w:rFonts w:ascii="仿宋_GB2312" w:hAnsi="仿宋" w:eastAsia="仿宋_GB2312" w:cs="仿宋"/>
          <w:sz w:val="32"/>
          <w:szCs w:val="32"/>
        </w:rPr>
        <w:t>引导市民和家庭崇德向上、幸福和睦、友善邻里、勤廉笃实，共同建设全国文明城市。</w:t>
      </w:r>
      <w:r>
        <w:rPr>
          <w:rFonts w:hint="eastAsia" w:ascii="仿宋_GB2312" w:hAnsi="仿宋" w:eastAsia="仿宋_GB2312" w:cs="仿宋"/>
          <w:b/>
          <w:sz w:val="32"/>
          <w:szCs w:val="32"/>
        </w:rPr>
        <w:t>三是“家庭幸福汇”活动全面提升女性素质。</w:t>
      </w:r>
      <w:r>
        <w:rPr>
          <w:rFonts w:hint="eastAsia" w:ascii="仿宋_GB2312" w:hAnsi="仿宋" w:eastAsia="仿宋_GB2312" w:cs="仿宋"/>
          <w:sz w:val="32"/>
          <w:szCs w:val="32"/>
        </w:rPr>
        <w:t>以电话和走访方式，联系辖区10个街道妇联、7个战线妇委会和15家股份公司妇委会，充分发挥以上妇联组织在群众中的根基作用，收集辖区居民群众对家庭文明素质提升方面的需求和建议，提供菜单式家庭关系、技能培训、健康养生、心理调适等活动，从身心健康到技能提升等全方位提升辖区群众素质。共开展58场讲座及活动，印制发放宣传折页3000余张，</w:t>
      </w:r>
      <w:r>
        <w:rPr>
          <w:rFonts w:ascii="仿宋_GB2312" w:hAnsi="仿宋" w:eastAsia="仿宋_GB2312" w:cs="仿宋"/>
          <w:sz w:val="32"/>
          <w:szCs w:val="32"/>
        </w:rPr>
        <w:t>惠及近</w:t>
      </w:r>
      <w:r>
        <w:rPr>
          <w:rFonts w:hint="eastAsia" w:ascii="仿宋_GB2312" w:hAnsi="仿宋" w:eastAsia="仿宋_GB2312" w:cs="仿宋"/>
          <w:sz w:val="32"/>
          <w:szCs w:val="32"/>
        </w:rPr>
        <w:t>9700余</w:t>
      </w:r>
      <w:r>
        <w:rPr>
          <w:rFonts w:ascii="仿宋_GB2312" w:hAnsi="仿宋" w:eastAsia="仿宋_GB2312" w:cs="仿宋"/>
          <w:sz w:val="32"/>
          <w:szCs w:val="32"/>
        </w:rPr>
        <w:t>名</w:t>
      </w:r>
      <w:r>
        <w:rPr>
          <w:rFonts w:hint="eastAsia" w:ascii="仿宋_GB2312" w:hAnsi="仿宋" w:eastAsia="仿宋_GB2312" w:cs="仿宋"/>
          <w:sz w:val="32"/>
          <w:szCs w:val="32"/>
        </w:rPr>
        <w:t>社区</w:t>
      </w:r>
      <w:r>
        <w:rPr>
          <w:rFonts w:ascii="仿宋_GB2312" w:hAnsi="仿宋" w:eastAsia="仿宋_GB2312" w:cs="仿宋"/>
          <w:sz w:val="32"/>
          <w:szCs w:val="32"/>
        </w:rPr>
        <w:t>居</w:t>
      </w:r>
      <w:r>
        <w:rPr>
          <w:rFonts w:hint="eastAsia" w:ascii="仿宋_GB2312" w:hAnsi="仿宋" w:eastAsia="仿宋_GB2312" w:cs="仿宋"/>
          <w:sz w:val="32"/>
          <w:szCs w:val="32"/>
        </w:rPr>
        <w:t>民</w:t>
      </w:r>
      <w:r>
        <w:rPr>
          <w:rFonts w:ascii="仿宋_GB2312" w:hAnsi="仿宋" w:eastAsia="仿宋_GB2312" w:cs="仿宋"/>
          <w:sz w:val="32"/>
          <w:szCs w:val="32"/>
        </w:rPr>
        <w:t>群众</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举办“事业与家庭牵手”女性文化沙龙活动，邀请</w:t>
      </w:r>
      <w:r>
        <w:rPr>
          <w:rFonts w:ascii="仿宋_GB2312" w:hAnsi="仿宋" w:eastAsia="仿宋_GB2312" w:cs="仿宋"/>
          <w:sz w:val="32"/>
          <w:szCs w:val="32"/>
          <w:lang w:val="en-US" w:eastAsia="zh-CN"/>
        </w:rPr>
        <w:t>全国“五好文明家庭标兵”赵州芝博士</w:t>
      </w:r>
      <w:r>
        <w:rPr>
          <w:rFonts w:hint="eastAsia" w:ascii="仿宋_GB2312" w:hAnsi="仿宋" w:eastAsia="仿宋_GB2312" w:cs="仿宋"/>
          <w:sz w:val="32"/>
          <w:szCs w:val="32"/>
          <w:lang w:val="en-US" w:eastAsia="zh-CN"/>
        </w:rPr>
        <w:t>等</w:t>
      </w:r>
      <w:r>
        <w:rPr>
          <w:rFonts w:ascii="仿宋_GB2312" w:hAnsi="仿宋" w:eastAsia="仿宋_GB2312" w:cs="仿宋"/>
          <w:sz w:val="32"/>
          <w:szCs w:val="32"/>
          <w:lang w:val="en-US" w:eastAsia="zh-CN"/>
        </w:rPr>
        <w:t>针对“如何平衡事业与家庭”这一话题展开互动</w:t>
      </w:r>
      <w:r>
        <w:rPr>
          <w:rFonts w:hint="eastAsia" w:ascii="仿宋_GB2312" w:hAnsi="仿宋" w:eastAsia="仿宋_GB2312" w:cs="仿宋"/>
          <w:sz w:val="32"/>
          <w:szCs w:val="32"/>
          <w:lang w:val="en-US" w:eastAsia="zh-CN"/>
        </w:rPr>
        <w:t>，</w:t>
      </w:r>
      <w:r>
        <w:rPr>
          <w:rFonts w:ascii="仿宋_GB2312" w:hAnsi="仿宋" w:eastAsia="仿宋_GB2312" w:cs="仿宋"/>
          <w:sz w:val="32"/>
          <w:szCs w:val="32"/>
          <w:lang w:val="en-US" w:eastAsia="zh-CN"/>
        </w:rPr>
        <w:t>区机关女干部、股份公司妇女代表、社区基层妇女代表等260多名女</w:t>
      </w:r>
      <w:r>
        <w:rPr>
          <w:rFonts w:hint="eastAsia" w:ascii="仿宋_GB2312" w:hAnsi="仿宋" w:eastAsia="仿宋_GB2312" w:cs="仿宋"/>
          <w:sz w:val="32"/>
          <w:szCs w:val="32"/>
          <w:lang w:val="en-US" w:eastAsia="zh-CN"/>
        </w:rPr>
        <w:t>性</w:t>
      </w:r>
      <w:r>
        <w:rPr>
          <w:rFonts w:ascii="仿宋_GB2312" w:hAnsi="仿宋" w:eastAsia="仿宋_GB2312" w:cs="仿宋"/>
          <w:sz w:val="32"/>
          <w:szCs w:val="32"/>
          <w:lang w:val="en-US" w:eastAsia="zh-CN"/>
        </w:rPr>
        <w:t>参与。</w:t>
      </w:r>
    </w:p>
    <w:p>
      <w:pPr>
        <w:adjustRightInd/>
        <w:snapToGrid/>
        <w:spacing w:line="540" w:lineRule="exact"/>
        <w:ind w:right="0"/>
        <w:jc w:val="center"/>
        <w:textAlignment w:val="auto"/>
        <w:rPr>
          <w:rFonts w:ascii="宋体" w:hAnsi="宋体" w:cs="仿宋"/>
          <w:sz w:val="44"/>
          <w:szCs w:val="44"/>
        </w:rPr>
      </w:pPr>
    </w:p>
    <w:p>
      <w:pPr>
        <w:widowControl/>
        <w:adjustRightInd/>
        <w:snapToGrid/>
        <w:spacing w:line="540" w:lineRule="exact"/>
        <w:ind w:right="0"/>
        <w:jc w:val="center"/>
        <w:textAlignment w:val="auto"/>
        <w:rPr>
          <w:rFonts w:ascii="宋体" w:hAnsi="宋体" w:cs="仿宋"/>
          <w:sz w:val="44"/>
          <w:szCs w:val="44"/>
        </w:rPr>
      </w:pPr>
      <w:r>
        <w:rPr>
          <w:rFonts w:hint="eastAsia" w:ascii="宋体" w:hAnsi="宋体" w:cs="仿宋"/>
          <w:sz w:val="44"/>
          <w:szCs w:val="44"/>
          <w:lang w:val="en-US" w:eastAsia="zh-CN"/>
        </w:rPr>
        <w:t>2018</w:t>
      </w:r>
      <w:r>
        <w:rPr>
          <w:rFonts w:hint="eastAsia" w:ascii="宋体" w:hAnsi="宋体" w:cs="仿宋"/>
          <w:sz w:val="44"/>
          <w:szCs w:val="44"/>
        </w:rPr>
        <w:t>年工作思路</w:t>
      </w:r>
    </w:p>
    <w:p>
      <w:pPr>
        <w:shd w:val="solid" w:color="FFFFFF" w:fill="auto"/>
        <w:autoSpaceDN w:val="0"/>
        <w:adjustRightInd/>
        <w:snapToGrid/>
        <w:spacing w:line="540" w:lineRule="exact"/>
        <w:ind w:right="0" w:firstLine="640" w:firstLineChars="200"/>
        <w:textAlignment w:val="auto"/>
        <w:rPr>
          <w:rFonts w:hint="eastAsia" w:ascii="仿宋_GB2312" w:hAnsi="仿宋" w:eastAsia="仿宋_GB2312" w:cs="仿宋"/>
          <w:sz w:val="32"/>
          <w:szCs w:val="32"/>
          <w:lang w:eastAsia="zh-CN"/>
        </w:rPr>
      </w:pPr>
    </w:p>
    <w:p>
      <w:pPr>
        <w:shd w:val="solid" w:color="FFFFFF" w:fill="auto"/>
        <w:autoSpaceDN w:val="0"/>
        <w:adjustRightInd/>
        <w:snapToGrid/>
        <w:spacing w:line="540" w:lineRule="exact"/>
        <w:ind w:right="0" w:firstLine="640" w:firstLineChars="200"/>
        <w:jc w:val="both"/>
        <w:textAlignment w:val="auto"/>
        <w:rPr>
          <w:rFonts w:hint="eastAsia" w:ascii="仿宋_GB2312" w:hAnsi="仿宋_GB2312" w:eastAsia="仿宋_GB2312" w:cs="仿宋_GB2312"/>
          <w:color w:val="3E3E3E"/>
          <w:sz w:val="32"/>
          <w:szCs w:val="32"/>
          <w:shd w:val="clear" w:color="auto" w:fill="FFFFFF"/>
        </w:rPr>
      </w:pPr>
      <w:r>
        <w:rPr>
          <w:rFonts w:hint="eastAsia" w:ascii="仿宋_GB2312" w:hAnsi="仿宋" w:eastAsia="仿宋_GB2312" w:cs="仿宋"/>
          <w:sz w:val="32"/>
          <w:szCs w:val="32"/>
          <w:lang w:eastAsia="zh-CN"/>
        </w:rPr>
        <w:t>妇联组织健全了，力量壮大了，如何更好地发挥作用？按</w:t>
      </w:r>
      <w:r>
        <w:rPr>
          <w:rFonts w:hint="eastAsia" w:ascii="仿宋_GB2312" w:hAnsi="仿宋" w:eastAsia="仿宋_GB2312" w:cs="仿宋"/>
          <w:sz w:val="32"/>
          <w:szCs w:val="32"/>
          <w:lang w:val="en-US" w:eastAsia="zh-CN"/>
        </w:rPr>
        <w:t>照党的</w:t>
      </w:r>
      <w:bookmarkStart w:id="0" w:name="_GoBack"/>
      <w:bookmarkEnd w:id="0"/>
      <w:r>
        <w:rPr>
          <w:rFonts w:hint="eastAsia" w:ascii="仿宋_GB2312" w:hAnsi="仿宋" w:eastAsia="仿宋_GB2312" w:cs="仿宋"/>
          <w:sz w:val="32"/>
          <w:szCs w:val="32"/>
          <w:lang w:val="en-US" w:eastAsia="zh-CN"/>
        </w:rPr>
        <w:t>十九大报告“增强群众工作本领，创新群众工作体制机制和方式方法，推动工会、共青团、妇联等群团组织增强政治性、先进性、群众性，发挥联系群众的桥梁纽带作用，组织动员广大人民群众坚定不移跟党走。”2018年，妇联将以“不忘初心跟党走 巾帼建功再出发”为</w:t>
      </w:r>
      <w:r>
        <w:rPr>
          <w:rFonts w:hint="eastAsia" w:ascii="仿宋_GB2312" w:hAnsi="仿宋" w:eastAsia="仿宋_GB2312" w:cs="仿宋"/>
          <w:sz w:val="32"/>
          <w:szCs w:val="32"/>
          <w:lang w:eastAsia="zh-CN"/>
        </w:rPr>
        <w:t>主线</w:t>
      </w:r>
      <w:r>
        <w:rPr>
          <w:rFonts w:hint="eastAsia" w:ascii="仿宋_GB2312" w:hAnsi="仿宋" w:eastAsia="仿宋_GB2312" w:cs="仿宋"/>
          <w:sz w:val="32"/>
          <w:szCs w:val="32"/>
          <w:lang w:val="en-US" w:eastAsia="zh-CN"/>
        </w:rPr>
        <w:t>,紧扣</w:t>
      </w:r>
      <w:r>
        <w:rPr>
          <w:rFonts w:hint="eastAsia" w:ascii="仿宋_GB2312" w:hAnsi="仿宋" w:eastAsia="仿宋_GB2312" w:cs="仿宋"/>
          <w:sz w:val="32"/>
          <w:szCs w:val="32"/>
          <w:lang w:eastAsia="zh-CN"/>
        </w:rPr>
        <w:t>“强三性”目标，妇联旗帜亮起来，妇联组织强起来，妇联工作活起来。</w:t>
      </w:r>
    </w:p>
    <w:p>
      <w:pPr>
        <w:numPr>
          <w:ilvl w:val="0"/>
          <w:numId w:val="1"/>
        </w:numPr>
        <w:adjustRightInd/>
        <w:snapToGrid/>
        <w:spacing w:beforeAutospacing="0" w:afterAutospacing="0" w:line="540" w:lineRule="exact"/>
        <w:ind w:left="0" w:leftChars="0" w:right="0" w:firstLine="640" w:firstLineChars="200"/>
        <w:jc w:val="both"/>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增强政治性，妇联旗帜亮起来</w:t>
      </w:r>
    </w:p>
    <w:p>
      <w:pPr>
        <w:widowControl/>
        <w:adjustRightInd/>
        <w:snapToGrid/>
        <w:spacing w:line="540" w:lineRule="exact"/>
        <w:ind w:right="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亮出旗帜筑牢根基凝聚力量，以党建带妇建，妇建跟党建，跟得紧、跟得准、跟得巧。“跟得紧”是党组织建到哪里，妇联组织就建到哪里；“跟得准”是指以基层党组织、党员的作风建设带动妇联基层组织的作风建设，实现重心下移，服务精准化。“跟得巧”是指整合资源，在现有的党群服务中心嵌入妇联全方位的服务项目，把妇女所需与妇联所能紧密结合起来。印制统一的《执委联系妇女群众工作台账》发放给执委，努力用妇联组织的旗帜汇聚各种社会力量，以“润物细无声”的方式，团结动员广大妇女群众坚定不移听党话跟党走。     </w:t>
      </w:r>
    </w:p>
    <w:p>
      <w:pPr>
        <w:numPr>
          <w:ilvl w:val="0"/>
          <w:numId w:val="1"/>
        </w:numPr>
        <w:adjustRightInd/>
        <w:snapToGrid/>
        <w:spacing w:beforeAutospacing="0" w:afterAutospacing="0" w:line="540" w:lineRule="exact"/>
        <w:ind w:left="0" w:leftChars="0" w:right="0" w:firstLine="640" w:firstLineChars="200"/>
        <w:jc w:val="both"/>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增强先进性，妇联组织强起来</w:t>
      </w:r>
    </w:p>
    <w:p>
      <w:pPr>
        <w:adjustRightInd/>
        <w:snapToGrid/>
        <w:spacing w:line="540" w:lineRule="exact"/>
        <w:ind w:right="0" w:firstLine="640" w:firstLineChars="200"/>
        <w:jc w:val="both"/>
        <w:textAlignment w:val="auto"/>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全区10个街道、95个社区妇联组织框架已全部建立，将更好地引领妇女群众参与基层自治。充分发挥“三八红旗手”和巾帼文明岗在各行各业的示范效应，用榜样的力量感召妇女群众，引导妇女在改革发展稳定第一线建功立业。常态化推进寻找“最美家庭”等家庭文明建设活动，引导妇女坚定理想信念、追求文明进步，弘扬家庭美德、树立良好家风，铸就自尊自信、自立自强的精神品格。开展“七彩孔雀耀福田”行动，举办七彩孔雀就业创业论坛和各类联谊活动，汇聚海归人才资源，助力福田发展。</w:t>
      </w:r>
    </w:p>
    <w:p>
      <w:pPr>
        <w:numPr>
          <w:ilvl w:val="0"/>
          <w:numId w:val="1"/>
        </w:numPr>
        <w:adjustRightInd/>
        <w:snapToGrid/>
        <w:spacing w:beforeAutospacing="0" w:afterAutospacing="0" w:line="540" w:lineRule="exact"/>
        <w:ind w:left="0" w:leftChars="0" w:right="0" w:firstLine="640" w:firstLineChars="200"/>
        <w:jc w:val="both"/>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增强群众性，妇联工作活起来</w:t>
      </w:r>
    </w:p>
    <w:p>
      <w:pPr>
        <w:adjustRightInd/>
        <w:snapToGrid/>
        <w:spacing w:line="540" w:lineRule="exact"/>
        <w:ind w:right="0"/>
        <w:jc w:val="both"/>
        <w:textAlignment w:val="auto"/>
        <w:rPr>
          <w:rFonts w:hint="eastAsia" w:ascii="仿宋" w:hAnsi="仿宋" w:eastAsia="仿宋"/>
          <w:sz w:val="32"/>
          <w:szCs w:val="32"/>
        </w:rPr>
      </w:pPr>
      <w:r>
        <w:rPr>
          <w:rFonts w:hint="eastAsia" w:ascii="仿宋_GB2312" w:hAnsi="仿宋" w:eastAsia="仿宋_GB2312" w:cs="仿宋"/>
          <w:b w:val="0"/>
          <w:kern w:val="2"/>
          <w:sz w:val="32"/>
          <w:szCs w:val="32"/>
          <w:lang w:val="en-US" w:eastAsia="zh-CN" w:bidi="ar-SA"/>
        </w:rPr>
        <w:t xml:space="preserve">    以活动增强生命力、以服务增加凝聚力、以创新增强吸引力，当好有信念、有智慧、有大爱的贴心“娘家人”。如</w:t>
      </w:r>
      <w:r>
        <w:rPr>
          <w:rFonts w:hint="eastAsia" w:ascii="仿宋" w:hAnsi="仿宋" w:eastAsia="仿宋"/>
          <w:sz w:val="32"/>
          <w:szCs w:val="32"/>
        </w:rPr>
        <w:t>结合我区2018年民生实事</w:t>
      </w:r>
      <w:r>
        <w:rPr>
          <w:rFonts w:hint="eastAsia" w:ascii="仿宋" w:hAnsi="仿宋" w:eastAsia="仿宋"/>
          <w:sz w:val="32"/>
          <w:szCs w:val="32"/>
          <w:lang w:eastAsia="zh-CN"/>
        </w:rPr>
        <w:t>，</w:t>
      </w:r>
      <w:r>
        <w:rPr>
          <w:rFonts w:hint="eastAsia" w:ascii="仿宋" w:hAnsi="仿宋" w:eastAsia="仿宋"/>
          <w:sz w:val="32"/>
          <w:szCs w:val="32"/>
        </w:rPr>
        <w:t>在香蜜公园打造一个融交友网站、集体婚礼、婚恋课堂、婚姻家庭矛盾纠纷调处、和谐家庭关系处理于一体的服务平台，为辖区居民提供“最诚婚介所、最嗨集体婚礼、最火婚恋学堂、最专婚调室、福田最美家庭”一站式服务</w:t>
      </w:r>
      <w:r>
        <w:rPr>
          <w:rFonts w:hint="eastAsia" w:ascii="仿宋" w:hAnsi="仿宋" w:eastAsia="仿宋"/>
          <w:sz w:val="32"/>
          <w:szCs w:val="32"/>
          <w:lang w:eastAsia="zh-CN"/>
        </w:rPr>
        <w:t>；</w:t>
      </w:r>
      <w:r>
        <w:rPr>
          <w:rFonts w:hint="eastAsia" w:ascii="仿宋" w:hAnsi="仿宋" w:eastAsia="仿宋"/>
          <w:sz w:val="32"/>
          <w:szCs w:val="32"/>
        </w:rPr>
        <w:t>在全区95个社区全面推广儿童议事会制度，实现儿童议事会社区全覆盖</w:t>
      </w:r>
      <w:r>
        <w:rPr>
          <w:rFonts w:hint="eastAsia" w:ascii="仿宋" w:hAnsi="仿宋" w:eastAsia="仿宋"/>
          <w:sz w:val="32"/>
          <w:szCs w:val="32"/>
          <w:lang w:val="en-US" w:eastAsia="zh-CN"/>
        </w:rPr>
        <w:t>,</w:t>
      </w:r>
      <w:r>
        <w:rPr>
          <w:rFonts w:hint="eastAsia" w:ascii="仿宋" w:hAnsi="仿宋" w:eastAsia="仿宋"/>
          <w:sz w:val="32"/>
          <w:szCs w:val="32"/>
        </w:rPr>
        <w:t>让城市倾听儿童声音，让儿童参与社区基层治理。</w:t>
      </w:r>
    </w:p>
    <w:p>
      <w:pPr>
        <w:numPr>
          <w:ilvl w:val="0"/>
          <w:numId w:val="0"/>
        </w:numPr>
        <w:adjustRightInd/>
        <w:snapToGrid/>
        <w:spacing w:beforeAutospacing="0" w:afterAutospacing="0" w:line="540" w:lineRule="exact"/>
        <w:ind w:leftChars="200" w:right="0"/>
        <w:jc w:val="both"/>
        <w:textAlignment w:val="auto"/>
        <w:rPr>
          <w:rFonts w:hint="eastAsia" w:ascii="黑体" w:hAnsi="黑体" w:eastAsia="黑体" w:cs="仿宋"/>
          <w:sz w:val="32"/>
          <w:szCs w:val="32"/>
          <w:lang w:eastAsia="zh-CN"/>
        </w:rPr>
      </w:pPr>
    </w:p>
    <w:p>
      <w:pPr>
        <w:tabs>
          <w:tab w:val="left" w:pos="5128"/>
        </w:tabs>
        <w:adjustRightInd/>
        <w:snapToGrid/>
        <w:spacing w:line="540" w:lineRule="exact"/>
        <w:ind w:right="0" w:firstLine="640" w:firstLineChars="200"/>
        <w:jc w:val="both"/>
        <w:textAlignment w:val="auto"/>
        <w:rPr>
          <w:rFonts w:hint="eastAsia" w:ascii="仿宋_GB2312" w:hAnsi="仿宋" w:eastAsia="仿宋_GB2312" w:cs="仿宋"/>
          <w:b w:val="0"/>
          <w:kern w:val="2"/>
          <w:sz w:val="32"/>
          <w:szCs w:val="32"/>
          <w:lang w:val="en-US" w:eastAsia="zh-CN" w:bidi="ar-SA"/>
        </w:rPr>
      </w:pPr>
      <w:r>
        <w:rPr>
          <w:rFonts w:hint="eastAsia" w:ascii="仿宋_GB2312" w:hAnsi="仿宋" w:eastAsia="仿宋_GB2312" w:cs="仿宋"/>
          <w:b w:val="0"/>
          <w:kern w:val="2"/>
          <w:sz w:val="32"/>
          <w:szCs w:val="32"/>
          <w:lang w:val="en-US" w:eastAsia="zh-CN" w:bidi="ar-SA"/>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wps:spPr>
                    <wps:txbx>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xltl0AAAAAIBAAAPAAAAAAAAAAEAIAAAACIAAABkcnMvZG93bnJldi54bWxQ&#10;SwECFAAUAAAACACHTuJA6EqUV8YBAACMAwAADgAAAAAAAAABACAAAAAfAQAAZHJzL2Uyb0RvYy54&#10;bWxQSwUGAAAAAAYABgBZAQAAVwUAAAAA&#10;">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3</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A0664"/>
    <w:multiLevelType w:val="singleLevel"/>
    <w:tmpl w:val="5A2A066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29FF481C"/>
    <w:rsid w:val="0001491E"/>
    <w:rsid w:val="000B33E2"/>
    <w:rsid w:val="00180D4C"/>
    <w:rsid w:val="00191910"/>
    <w:rsid w:val="001C6A68"/>
    <w:rsid w:val="0020193D"/>
    <w:rsid w:val="002A1233"/>
    <w:rsid w:val="003406B5"/>
    <w:rsid w:val="003569BF"/>
    <w:rsid w:val="00366B97"/>
    <w:rsid w:val="003866A3"/>
    <w:rsid w:val="003D56A3"/>
    <w:rsid w:val="00455D4F"/>
    <w:rsid w:val="00477009"/>
    <w:rsid w:val="00483AAF"/>
    <w:rsid w:val="004D6578"/>
    <w:rsid w:val="004F0659"/>
    <w:rsid w:val="00556DA2"/>
    <w:rsid w:val="005D4117"/>
    <w:rsid w:val="0061457B"/>
    <w:rsid w:val="00670828"/>
    <w:rsid w:val="00682ED3"/>
    <w:rsid w:val="0074010E"/>
    <w:rsid w:val="0075780D"/>
    <w:rsid w:val="00760376"/>
    <w:rsid w:val="00761B24"/>
    <w:rsid w:val="0081489E"/>
    <w:rsid w:val="008D0841"/>
    <w:rsid w:val="008F17E2"/>
    <w:rsid w:val="009106D3"/>
    <w:rsid w:val="0093258D"/>
    <w:rsid w:val="00A77B07"/>
    <w:rsid w:val="00AC6919"/>
    <w:rsid w:val="00AE0527"/>
    <w:rsid w:val="00B25681"/>
    <w:rsid w:val="00BD24C2"/>
    <w:rsid w:val="00C3505F"/>
    <w:rsid w:val="00D50701"/>
    <w:rsid w:val="00D61449"/>
    <w:rsid w:val="00DF56D4"/>
    <w:rsid w:val="00F00ACB"/>
    <w:rsid w:val="00F46250"/>
    <w:rsid w:val="00FC04D5"/>
    <w:rsid w:val="00FC4894"/>
    <w:rsid w:val="02303BEC"/>
    <w:rsid w:val="042061A6"/>
    <w:rsid w:val="042D781E"/>
    <w:rsid w:val="08A84FCE"/>
    <w:rsid w:val="09D1065F"/>
    <w:rsid w:val="0BB94826"/>
    <w:rsid w:val="0BC622F2"/>
    <w:rsid w:val="0BC77BF7"/>
    <w:rsid w:val="0C323CCA"/>
    <w:rsid w:val="0E0D45C3"/>
    <w:rsid w:val="0EB429D9"/>
    <w:rsid w:val="101068A8"/>
    <w:rsid w:val="108B2365"/>
    <w:rsid w:val="10C22453"/>
    <w:rsid w:val="11C935CF"/>
    <w:rsid w:val="16CE5661"/>
    <w:rsid w:val="174D35C7"/>
    <w:rsid w:val="175E3E24"/>
    <w:rsid w:val="17673BEA"/>
    <w:rsid w:val="1A99730B"/>
    <w:rsid w:val="1AE10782"/>
    <w:rsid w:val="1BB52464"/>
    <w:rsid w:val="1CA41FC5"/>
    <w:rsid w:val="1F926C04"/>
    <w:rsid w:val="20337128"/>
    <w:rsid w:val="20FD1E7C"/>
    <w:rsid w:val="21AC0F50"/>
    <w:rsid w:val="246D26F9"/>
    <w:rsid w:val="29FF481C"/>
    <w:rsid w:val="2A885E59"/>
    <w:rsid w:val="2EE8417F"/>
    <w:rsid w:val="2FA326E2"/>
    <w:rsid w:val="32D04860"/>
    <w:rsid w:val="33E729C1"/>
    <w:rsid w:val="34E539DB"/>
    <w:rsid w:val="3583462D"/>
    <w:rsid w:val="3B0F5741"/>
    <w:rsid w:val="3CF9587D"/>
    <w:rsid w:val="41777C10"/>
    <w:rsid w:val="41B47AE8"/>
    <w:rsid w:val="44925194"/>
    <w:rsid w:val="460E2ECB"/>
    <w:rsid w:val="47014B1A"/>
    <w:rsid w:val="47FB75E1"/>
    <w:rsid w:val="4B1E132F"/>
    <w:rsid w:val="4C536E1E"/>
    <w:rsid w:val="4CED27E9"/>
    <w:rsid w:val="4EB15EE8"/>
    <w:rsid w:val="537623CA"/>
    <w:rsid w:val="55117F7A"/>
    <w:rsid w:val="55D4388B"/>
    <w:rsid w:val="56C65664"/>
    <w:rsid w:val="593628EE"/>
    <w:rsid w:val="5C597BE8"/>
    <w:rsid w:val="5CBA3BF6"/>
    <w:rsid w:val="5D2C03C6"/>
    <w:rsid w:val="5DF90989"/>
    <w:rsid w:val="60D11759"/>
    <w:rsid w:val="62B00DD9"/>
    <w:rsid w:val="64F278C4"/>
    <w:rsid w:val="67FA4124"/>
    <w:rsid w:val="6B806A4B"/>
    <w:rsid w:val="6D770681"/>
    <w:rsid w:val="6DC0626C"/>
    <w:rsid w:val="6E3C75B2"/>
    <w:rsid w:val="6F453CFF"/>
    <w:rsid w:val="6F725A5F"/>
    <w:rsid w:val="703B0B85"/>
    <w:rsid w:val="74B5169D"/>
    <w:rsid w:val="7708416A"/>
    <w:rsid w:val="7AE078C6"/>
    <w:rsid w:val="7BA072C4"/>
    <w:rsid w:val="7CC476D8"/>
    <w:rsid w:val="7D654CA8"/>
    <w:rsid w:val="7D810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rPr>
      <w:rFonts w:cs="Times New Roman"/>
    </w:rPr>
  </w:style>
  <w:style w:type="character" w:styleId="11">
    <w:name w:val="FollowedHyperlink"/>
    <w:basedOn w:val="8"/>
    <w:qFormat/>
    <w:uiPriority w:val="0"/>
    <w:rPr>
      <w:color w:val="000000"/>
      <w:u w:val="none"/>
    </w:rPr>
  </w:style>
  <w:style w:type="character" w:styleId="12">
    <w:name w:val="Emphasis"/>
    <w:basedOn w:val="8"/>
    <w:qFormat/>
    <w:uiPriority w:val="0"/>
    <w:rPr>
      <w:color w:val="CC0000"/>
    </w:rPr>
  </w:style>
  <w:style w:type="character" w:styleId="13">
    <w:name w:val="HTML Typewriter"/>
    <w:basedOn w:val="8"/>
    <w:qFormat/>
    <w:uiPriority w:val="0"/>
    <w:rPr>
      <w:rFonts w:ascii="微软雅黑" w:hAnsi="微软雅黑" w:eastAsia="微软雅黑" w:cs="微软雅黑"/>
      <w:b/>
      <w:color w:val="294E7B"/>
      <w:sz w:val="18"/>
      <w:szCs w:val="18"/>
    </w:rPr>
  </w:style>
  <w:style w:type="character" w:styleId="14">
    <w:name w:val="Hyperlink"/>
    <w:basedOn w:val="8"/>
    <w:qFormat/>
    <w:uiPriority w:val="0"/>
    <w:rPr>
      <w:color w:val="000000"/>
      <w:u w:val="none"/>
    </w:rPr>
  </w:style>
  <w:style w:type="character" w:styleId="15">
    <w:name w:val="HTML Cite"/>
    <w:basedOn w:val="8"/>
    <w:qFormat/>
    <w:uiPriority w:val="0"/>
    <w:rPr>
      <w:color w:val="008000"/>
    </w:rPr>
  </w:style>
  <w:style w:type="paragraph" w:customStyle="1" w:styleId="16">
    <w:name w:val="列出段落1"/>
    <w:basedOn w:val="1"/>
    <w:unhideWhenUsed/>
    <w:qFormat/>
    <w:uiPriority w:val="99"/>
    <w:pPr>
      <w:ind w:firstLine="420" w:firstLineChars="200"/>
    </w:pPr>
  </w:style>
  <w:style w:type="character" w:customStyle="1" w:styleId="17">
    <w:name w:val="页眉 Char"/>
    <w:basedOn w:val="8"/>
    <w:link w:val="5"/>
    <w:qFormat/>
    <w:uiPriority w:val="0"/>
    <w:rPr>
      <w:rFonts w:ascii="Calibri" w:hAnsi="Calibri"/>
      <w:kern w:val="2"/>
      <w:sz w:val="18"/>
      <w:szCs w:val="18"/>
    </w:rPr>
  </w:style>
  <w:style w:type="character" w:customStyle="1" w:styleId="18">
    <w:name w:val="批注框文本 Char"/>
    <w:basedOn w:val="8"/>
    <w:link w:val="3"/>
    <w:qFormat/>
    <w:uiPriority w:val="0"/>
    <w:rPr>
      <w:rFonts w:ascii="Calibri" w:hAnsi="Calibri"/>
      <w:kern w:val="2"/>
      <w:sz w:val="18"/>
      <w:szCs w:val="18"/>
    </w:rPr>
  </w:style>
  <w:style w:type="character" w:customStyle="1" w:styleId="19">
    <w:name w:val="trafficeducation_bg_top"/>
    <w:basedOn w:val="8"/>
    <w:qFormat/>
    <w:uiPriority w:val="0"/>
  </w:style>
  <w:style w:type="character" w:customStyle="1" w:styleId="20">
    <w:name w:val="bsharetext"/>
    <w:basedOn w:val="8"/>
    <w:qFormat/>
    <w:uiPriority w:val="0"/>
  </w:style>
  <w:style w:type="character" w:customStyle="1" w:styleId="21">
    <w:name w:val="dater"/>
    <w:basedOn w:val="8"/>
    <w:qFormat/>
    <w:uiPriority w:val="0"/>
    <w:rPr>
      <w:rFonts w:hint="default" w:ascii="Times New Roman" w:hAnsi="Times New Roman" w:cs="Times New Roman"/>
      <w:color w:val="999999"/>
      <w:sz w:val="18"/>
      <w:szCs w:val="18"/>
    </w:rPr>
  </w:style>
  <w:style w:type="character" w:customStyle="1" w:styleId="22">
    <w:name w:val="per20"/>
    <w:basedOn w:val="8"/>
    <w:qFormat/>
    <w:uiPriority w:val="0"/>
    <w:rPr>
      <w:color w:val="8B8A8A"/>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4167</Words>
  <Characters>4265</Characters>
  <Lines>41</Lines>
  <Paragraphs>11</Paragraphs>
  <TotalTime>0</TotalTime>
  <ScaleCrop>false</ScaleCrop>
  <LinksUpToDate>false</LinksUpToDate>
  <CharactersWithSpaces>4299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2017-11-02T16:05:00Z</dcterms:created>
  <dc:creator>xu</dc:creator>
  <cp:lastModifiedBy>-Jus</cp:lastModifiedBy>
  <cp:lastPrinted>2018-01-05T15:25:00Z</cp:lastPrinted>
  <dcterms:modified xsi:type="dcterms:W3CDTF">2022-10-11T03:06:29Z</dcterms:modified>
  <dc:title>妇联2017年工作总结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B7B95769AD9C428A8AF4D8F807A1DAFD</vt:lpwstr>
  </property>
</Properties>
</file>